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95547" w:rsidRPr="0033139D" w:rsidRDefault="007604ED" w:rsidP="00995547">
      <w:pPr>
        <w:spacing w:line="240" w:lineRule="auto"/>
        <w:jc w:val="both"/>
        <w:rPr>
          <w:b/>
          <w:color w:val="000000" w:themeColor="text1"/>
        </w:rPr>
      </w:pPr>
      <w:r>
        <w:rPr>
          <w:b/>
          <w:color w:val="000000" w:themeColor="text1"/>
        </w:rPr>
        <w:t>DESPACHO Nº 471</w:t>
      </w:r>
      <w:r w:rsidR="0033139D" w:rsidRPr="0033139D">
        <w:rPr>
          <w:b/>
          <w:color w:val="000000" w:themeColor="text1"/>
        </w:rPr>
        <w:t>/2025/DME</w:t>
      </w:r>
    </w:p>
    <w:p w:rsidR="0033139D" w:rsidRDefault="0033139D" w:rsidP="00995547">
      <w:pPr>
        <w:spacing w:line="240" w:lineRule="auto"/>
        <w:jc w:val="both"/>
        <w:rPr>
          <w:color w:val="000000" w:themeColor="text1"/>
        </w:rPr>
      </w:pPr>
      <w:r w:rsidRPr="0033139D">
        <w:rPr>
          <w:b/>
          <w:color w:val="000000" w:themeColor="text1"/>
        </w:rPr>
        <w:t>DESTINO:</w:t>
      </w:r>
      <w:r>
        <w:rPr>
          <w:color w:val="000000" w:themeColor="text1"/>
        </w:rPr>
        <w:t xml:space="preserve"> DEPARTAMENTO DE ADMINISTRAÇÃO</w:t>
      </w:r>
    </w:p>
    <w:p w:rsidR="0033139D" w:rsidRPr="00E7583A" w:rsidRDefault="0033139D" w:rsidP="00995547">
      <w:pPr>
        <w:spacing w:line="240" w:lineRule="auto"/>
        <w:jc w:val="both"/>
        <w:rPr>
          <w:color w:val="000000" w:themeColor="text1"/>
        </w:rPr>
      </w:pPr>
      <w:r w:rsidRPr="0033139D">
        <w:rPr>
          <w:b/>
          <w:color w:val="000000" w:themeColor="text1"/>
        </w:rPr>
        <w:t>ASSUNTO:</w:t>
      </w:r>
      <w:r>
        <w:rPr>
          <w:color w:val="000000" w:themeColor="text1"/>
        </w:rPr>
        <w:t xml:space="preserve"> </w:t>
      </w:r>
      <w:r w:rsidR="00F23BC1" w:rsidRPr="00920DD2">
        <w:rPr>
          <w:rFonts w:cstheme="minorHAnsi"/>
        </w:rPr>
        <w:t>Celebração de Termo de Colaboração visando a parceria com Organização da Sociedade Civil para o Desenvolvimento do Programa de Tempo Integral Municipal, “São João Mais Saber”, que visa à ampliação progressiva da jornada escolar dos alunos da Educação Infantil e Fundamental da Rede Municipal de Ensino.</w:t>
      </w:r>
    </w:p>
    <w:p w:rsidR="0033139D" w:rsidRDefault="0033139D" w:rsidP="00995547">
      <w:pPr>
        <w:spacing w:line="240" w:lineRule="auto"/>
        <w:jc w:val="both"/>
        <w:rPr>
          <w:color w:val="000000" w:themeColor="text1"/>
        </w:rPr>
      </w:pPr>
    </w:p>
    <w:p w:rsidR="0033139D" w:rsidRDefault="00F23BC1" w:rsidP="0033139D">
      <w:pPr>
        <w:jc w:val="right"/>
        <w:rPr>
          <w:color w:val="000000" w:themeColor="text1"/>
        </w:rPr>
      </w:pPr>
      <w:r w:rsidRPr="00F23BC1">
        <w:rPr>
          <w:color w:val="000000" w:themeColor="text1"/>
        </w:rPr>
        <w:t xml:space="preserve">São João da Boa Vista, </w:t>
      </w:r>
      <w:r w:rsidR="00DD52E7">
        <w:rPr>
          <w:color w:val="000000" w:themeColor="text1"/>
        </w:rPr>
        <w:t>07 d</w:t>
      </w:r>
      <w:r w:rsidRPr="00F23BC1">
        <w:rPr>
          <w:color w:val="000000" w:themeColor="text1"/>
        </w:rPr>
        <w:t>e jul</w:t>
      </w:r>
      <w:r w:rsidR="0033139D" w:rsidRPr="00F23BC1">
        <w:rPr>
          <w:color w:val="000000" w:themeColor="text1"/>
        </w:rPr>
        <w:t>ho de 2025.</w:t>
      </w:r>
    </w:p>
    <w:p w:rsidR="008E0191" w:rsidRPr="00863147" w:rsidRDefault="008E0191" w:rsidP="0033139D">
      <w:pPr>
        <w:jc w:val="right"/>
        <w:rPr>
          <w:color w:val="000000" w:themeColor="text1"/>
        </w:rPr>
      </w:pPr>
    </w:p>
    <w:p w:rsidR="0033139D" w:rsidRDefault="0033139D" w:rsidP="0033139D">
      <w:pPr>
        <w:jc w:val="both"/>
        <w:rPr>
          <w:color w:val="000000" w:themeColor="text1"/>
        </w:rPr>
      </w:pPr>
      <w:r w:rsidRPr="00863147">
        <w:rPr>
          <w:color w:val="000000" w:themeColor="text1"/>
        </w:rPr>
        <w:tab/>
      </w:r>
      <w:r>
        <w:rPr>
          <w:color w:val="000000" w:themeColor="text1"/>
        </w:rPr>
        <w:t xml:space="preserve">Senhor Diretor do Departamento de Administração, </w:t>
      </w:r>
    </w:p>
    <w:p w:rsidR="008E0191" w:rsidRDefault="008E0191" w:rsidP="0033139D">
      <w:pPr>
        <w:jc w:val="both"/>
        <w:rPr>
          <w:color w:val="000000" w:themeColor="text1"/>
        </w:rPr>
      </w:pPr>
    </w:p>
    <w:p w:rsidR="0033139D" w:rsidRPr="008E0191" w:rsidRDefault="008E0191" w:rsidP="00995547">
      <w:pPr>
        <w:spacing w:line="240" w:lineRule="auto"/>
        <w:jc w:val="both"/>
        <w:rPr>
          <w:b/>
          <w:color w:val="000000" w:themeColor="text1"/>
          <w:u w:val="single"/>
        </w:rPr>
      </w:pPr>
      <w:r>
        <w:rPr>
          <w:color w:val="000000" w:themeColor="text1"/>
        </w:rPr>
        <w:tab/>
      </w:r>
      <w:r w:rsidRPr="008E0191">
        <w:rPr>
          <w:b/>
          <w:color w:val="000000" w:themeColor="text1"/>
        </w:rPr>
        <w:t xml:space="preserve">1. </w:t>
      </w:r>
      <w:r w:rsidR="00AA4384">
        <w:rPr>
          <w:b/>
          <w:color w:val="000000" w:themeColor="text1"/>
          <w:u w:val="single"/>
        </w:rPr>
        <w:t>INTRODUÇÃO</w:t>
      </w:r>
    </w:p>
    <w:p w:rsidR="00995547" w:rsidRPr="00E7583A" w:rsidRDefault="0033139D" w:rsidP="00995547">
      <w:pPr>
        <w:spacing w:line="240" w:lineRule="auto"/>
        <w:jc w:val="both"/>
        <w:rPr>
          <w:color w:val="000000" w:themeColor="text1"/>
        </w:rPr>
      </w:pPr>
      <w:r>
        <w:rPr>
          <w:color w:val="000000" w:themeColor="text1"/>
        </w:rPr>
        <w:tab/>
      </w:r>
      <w:r w:rsidR="00995547" w:rsidRPr="00E7583A">
        <w:rPr>
          <w:color w:val="000000" w:themeColor="text1"/>
        </w:rPr>
        <w:t xml:space="preserve">Considerando a necessidade de ampliação progressiva da jornada escolar dos alunos da Educação Infantil e do Ensino Fundamental da Rede Municipal de Ensino, por meio da execução de oficinas temáticas e atividades </w:t>
      </w:r>
      <w:r w:rsidR="00784014">
        <w:rPr>
          <w:color w:val="000000" w:themeColor="text1"/>
        </w:rPr>
        <w:t>educativas</w:t>
      </w:r>
      <w:r w:rsidR="00995547" w:rsidRPr="00E7583A">
        <w:rPr>
          <w:color w:val="000000" w:themeColor="text1"/>
        </w:rPr>
        <w:t xml:space="preserve"> no </w:t>
      </w:r>
      <w:proofErr w:type="spellStart"/>
      <w:r w:rsidR="00995547" w:rsidRPr="00E7583A">
        <w:rPr>
          <w:color w:val="000000" w:themeColor="text1"/>
        </w:rPr>
        <w:t>contraturno</w:t>
      </w:r>
      <w:proofErr w:type="spellEnd"/>
      <w:r w:rsidR="00995547" w:rsidRPr="00E7583A">
        <w:rPr>
          <w:color w:val="000000" w:themeColor="text1"/>
        </w:rPr>
        <w:t>, no âmbito do Programa “São João Mais Saber”;</w:t>
      </w:r>
    </w:p>
    <w:p w:rsidR="00995547" w:rsidRPr="00E7583A" w:rsidRDefault="0033139D" w:rsidP="00995547">
      <w:pPr>
        <w:spacing w:line="240" w:lineRule="auto"/>
        <w:jc w:val="both"/>
        <w:rPr>
          <w:color w:val="000000" w:themeColor="text1"/>
        </w:rPr>
      </w:pPr>
      <w:r>
        <w:rPr>
          <w:color w:val="000000" w:themeColor="text1"/>
        </w:rPr>
        <w:tab/>
      </w:r>
      <w:r w:rsidR="00995547" w:rsidRPr="00E7583A">
        <w:rPr>
          <w:color w:val="000000" w:themeColor="text1"/>
        </w:rPr>
        <w:t xml:space="preserve">Considerando o interesse público envolvido e a necessidade de assegurar </w:t>
      </w:r>
      <w:r>
        <w:rPr>
          <w:color w:val="000000" w:themeColor="text1"/>
        </w:rPr>
        <w:t xml:space="preserve">a </w:t>
      </w:r>
      <w:r w:rsidR="00995547" w:rsidRPr="00E7583A">
        <w:rPr>
          <w:color w:val="000000" w:themeColor="text1"/>
        </w:rPr>
        <w:t xml:space="preserve">qualidade e eficiência na oferta das atividades complementares de natureza educativa e </w:t>
      </w:r>
      <w:proofErr w:type="spellStart"/>
      <w:r w:rsidR="00995547" w:rsidRPr="00E7583A">
        <w:rPr>
          <w:color w:val="000000" w:themeColor="text1"/>
        </w:rPr>
        <w:t>socioemocional</w:t>
      </w:r>
      <w:proofErr w:type="spellEnd"/>
      <w:r w:rsidR="00995547" w:rsidRPr="00E7583A">
        <w:rPr>
          <w:color w:val="000000" w:themeColor="text1"/>
        </w:rPr>
        <w:t xml:space="preserve"> aos estudantes da Rede Municipal;</w:t>
      </w:r>
    </w:p>
    <w:p w:rsidR="00995547" w:rsidRPr="00E7583A" w:rsidRDefault="0033139D" w:rsidP="00995547">
      <w:pPr>
        <w:spacing w:line="240" w:lineRule="auto"/>
        <w:jc w:val="both"/>
        <w:rPr>
          <w:color w:val="000000" w:themeColor="text1"/>
        </w:rPr>
      </w:pPr>
      <w:r>
        <w:rPr>
          <w:color w:val="000000" w:themeColor="text1"/>
        </w:rPr>
        <w:tab/>
      </w:r>
      <w:r w:rsidR="00AA4384">
        <w:t>Considerando que o atual instrumento contratual que viabiliza a execução de oficinas no contraturno escolar — firmado por meio do Chamamento Público e do Termo de Colaboração nº 010/2022, celebrado entre a Prefeitura Municipal de São João da Boa Vista e o Instituto de Gestão Educacional e Valorização do Ensino (IGEVE), foi julgado irregular pelo Tribunal de Contas do Estado de São Paulo</w:t>
      </w:r>
      <w:r w:rsidR="00F23BC1">
        <w:t xml:space="preserve"> (TC-019155.989.23-9; TC-017143.989.24-2)</w:t>
      </w:r>
      <w:r w:rsidR="00AA4384">
        <w:t xml:space="preserve">, e considerando ainda que a atual parceria tem vigência até setembro de 2025, faz-se necessária a instauração de novo </w:t>
      </w:r>
      <w:r w:rsidR="00F23BC1">
        <w:t>processo licitatório</w:t>
      </w:r>
      <w:r w:rsidR="00AA4384">
        <w:t xml:space="preserve"> para garantir a continuidade das atividades ofertadas no contraturno escolar.</w:t>
      </w:r>
    </w:p>
    <w:p w:rsidR="00995547" w:rsidRPr="00E7583A" w:rsidRDefault="0033139D" w:rsidP="00995547">
      <w:pPr>
        <w:spacing w:line="240" w:lineRule="auto"/>
        <w:jc w:val="both"/>
        <w:rPr>
          <w:color w:val="000000" w:themeColor="text1"/>
        </w:rPr>
      </w:pPr>
      <w:r>
        <w:rPr>
          <w:color w:val="000000" w:themeColor="text1"/>
        </w:rPr>
        <w:tab/>
      </w:r>
      <w:r w:rsidR="00995547" w:rsidRPr="00E7583A">
        <w:rPr>
          <w:color w:val="000000" w:themeColor="text1"/>
        </w:rPr>
        <w:t>Considerando que a paralisação abrupta das atividades poderia ocasionar sérios prejuízos educacionais e sociais aos alunos e suas famílias, sobretudo aquelas em situação de vulnerabilidade, que contam com essa política pública como apoio durante a jornada de trabalho e como forma de garantir segurança, acolhimento e desenvolvimento integral às crianças;</w:t>
      </w:r>
    </w:p>
    <w:p w:rsidR="00995547" w:rsidRPr="00E7583A" w:rsidRDefault="0033139D" w:rsidP="00995547">
      <w:pPr>
        <w:spacing w:line="240" w:lineRule="auto"/>
        <w:jc w:val="both"/>
        <w:rPr>
          <w:color w:val="000000" w:themeColor="text1"/>
        </w:rPr>
      </w:pPr>
      <w:r>
        <w:rPr>
          <w:color w:val="000000" w:themeColor="text1"/>
        </w:rPr>
        <w:tab/>
      </w:r>
      <w:r w:rsidR="00995547" w:rsidRPr="00E7583A">
        <w:rPr>
          <w:color w:val="000000" w:themeColor="text1"/>
        </w:rPr>
        <w:t xml:space="preserve">Considerando que o desenvolvimento do Programa “São João Mais Saber” é estratégico para o Município, promovendo a permanência estendida do aluno na escola, enriquecendo o currículo, estimulando competências </w:t>
      </w:r>
      <w:proofErr w:type="spellStart"/>
      <w:r w:rsidR="00995547" w:rsidRPr="00E7583A">
        <w:rPr>
          <w:color w:val="000000" w:themeColor="text1"/>
        </w:rPr>
        <w:t>socioemocionais</w:t>
      </w:r>
      <w:proofErr w:type="spellEnd"/>
      <w:r w:rsidR="00995547" w:rsidRPr="00E7583A">
        <w:rPr>
          <w:color w:val="000000" w:themeColor="text1"/>
        </w:rPr>
        <w:t>, cognitivas, culturais e sociais e contribuindo com a redução da evasão escolar;</w:t>
      </w:r>
    </w:p>
    <w:p w:rsidR="00995547" w:rsidRDefault="0033139D" w:rsidP="00995547">
      <w:pPr>
        <w:spacing w:line="240" w:lineRule="auto"/>
        <w:jc w:val="both"/>
        <w:rPr>
          <w:color w:val="000000" w:themeColor="text1"/>
        </w:rPr>
      </w:pPr>
      <w:r>
        <w:rPr>
          <w:color w:val="000000" w:themeColor="text1"/>
        </w:rPr>
        <w:tab/>
      </w:r>
      <w:r w:rsidR="00995547" w:rsidRPr="00E7583A">
        <w:rPr>
          <w:color w:val="000000" w:themeColor="text1"/>
        </w:rPr>
        <w:t>Considerando que a Diretriz Educacional do Departamento Municipal de Educação contempla ações voltadas à melhoria dos indicadores educacionais da Rede Municipal, em especial o IDEB, e que a ampliação da jornada escolar integra essa estratégia;</w:t>
      </w:r>
    </w:p>
    <w:p w:rsidR="00995547" w:rsidRPr="00995547" w:rsidRDefault="0033139D" w:rsidP="00995547">
      <w:pPr>
        <w:spacing w:line="240" w:lineRule="auto"/>
        <w:jc w:val="both"/>
        <w:rPr>
          <w:color w:val="000000" w:themeColor="text1"/>
        </w:rPr>
      </w:pPr>
      <w:r>
        <w:rPr>
          <w:color w:val="000000" w:themeColor="text1"/>
        </w:rPr>
        <w:lastRenderedPageBreak/>
        <w:tab/>
        <w:t>Considerando que a</w:t>
      </w:r>
      <w:r w:rsidR="00995547" w:rsidRPr="00995547">
        <w:rPr>
          <w:color w:val="000000" w:themeColor="text1"/>
        </w:rPr>
        <w:t xml:space="preserve"> educação básica no Brasil tem sido objeto de diversas reformas ao longo dos anos, visando a melhoria da qualidade do ensino e a redução das desigualdades sociais. Nesse contexto, o Programa Escola em Tempo Integral, instituído pela Lei nº 14.640, de 31 de julho de 2023, emerge como uma política pública estratégica para fortalecer a educação básica em nosso país. Ao garantir que os estudantes tenham acesso a uma jornada ampliada de aprendizado, o programa busca atender à meta 06 do Plano Nacional de Educação (PNE), que visa à universalização da educação em tempo integral nas escolas públicas de todo o Brasil. A adesão de municípios ao programa, como a do Município em questão, representa um passo significativo no cumprimento dessa meta e no aprimoramento da educação oferecida aos estudantes, especialmente os que se encontram em situação de vulnerabilidade social.</w:t>
      </w:r>
    </w:p>
    <w:p w:rsidR="00995547" w:rsidRDefault="0033139D" w:rsidP="00995547">
      <w:pPr>
        <w:spacing w:line="240" w:lineRule="auto"/>
        <w:jc w:val="both"/>
        <w:rPr>
          <w:color w:val="000000" w:themeColor="text1"/>
        </w:rPr>
      </w:pPr>
      <w:r>
        <w:rPr>
          <w:color w:val="000000" w:themeColor="text1"/>
        </w:rPr>
        <w:tab/>
        <w:t>Considerando que o</w:t>
      </w:r>
      <w:r w:rsidR="00995547" w:rsidRPr="00995547">
        <w:rPr>
          <w:color w:val="000000" w:themeColor="text1"/>
        </w:rPr>
        <w:t xml:space="preserve"> Programa Escola em Tempo Integral tem como principal objetivo garantir a ampliação da jornada escolar para, no mínimo, sete horas diárias ou 35 horas semanais, o que possibilita um maior tempo de contato entre os estudantes e as atividades complementares. A jornada ampliada contribui para um ambiente de aprendizado mais intenso e diversificado, onde os alunos não apenas consolidam o conteúdo curricular, mas também desenvolvem habilidades e competências de forma integral. A ampliação da carga horária escolar está diretamente relacionada ao conceito de educação integral, que busca o desenvolvimento completo do aluno, abrangendo não apenas o aspecto cognitivo, mas também as dimensões social, em</w:t>
      </w:r>
      <w:r>
        <w:rPr>
          <w:color w:val="000000" w:themeColor="text1"/>
        </w:rPr>
        <w:t xml:space="preserve">ocional e física. </w:t>
      </w:r>
      <w:r w:rsidR="00995547" w:rsidRPr="00995547">
        <w:rPr>
          <w:color w:val="000000" w:themeColor="text1"/>
        </w:rPr>
        <w:t xml:space="preserve">Esse modelo é, portanto, fundamental para promover uma educação mais inclusiva e equitativa, uma vez que prioriza as escolas que atendem estudantes em situação de maior vulnerabilidade socioeconômica. No Brasil, muitas crianças e adolescentes enfrentam desafios extras-escolares significativos, como falta de acesso a atividades culturais, esportivas e de lazer, além de dificuldades no acompanhamento das atividades escolares em casa devido à precariedade das condições socioeconômicas das famílias. O Programa Escola em Tempo Integral visa suprir essas lacunas, oferecendo aos estudantes uma educação de maior qualidade e um ambiente mais seguro e estimulante. No entanto, a implementação de uma política pública dessa magnitude não é tarefa simples e exige um planejamento cuidadoso. A adesão ao programa, como realizada pelo Município, </w:t>
      </w:r>
      <w:r>
        <w:rPr>
          <w:color w:val="000000" w:themeColor="text1"/>
        </w:rPr>
        <w:t>requer apoio da iniciativa privada p</w:t>
      </w:r>
      <w:r w:rsidR="00995547" w:rsidRPr="00995547">
        <w:rPr>
          <w:color w:val="000000" w:themeColor="text1"/>
        </w:rPr>
        <w:t xml:space="preserve">ara garantir a assistência </w:t>
      </w:r>
      <w:r>
        <w:rPr>
          <w:color w:val="000000" w:themeColor="text1"/>
        </w:rPr>
        <w:t xml:space="preserve">técnica e financeira necessária à criação de </w:t>
      </w:r>
      <w:r w:rsidR="00995547" w:rsidRPr="00995547">
        <w:rPr>
          <w:color w:val="000000" w:themeColor="text1"/>
        </w:rPr>
        <w:t>novas matrículas e à adaptação da infraestrutura escolar. Além disso, é fundamental que a proposta pedagógica das escolas esteja alinhada à Base Nacional Comum Curricular (BNCC), garantindo que o aumento da carga horária não resulte apenas em mais tempo de aula, mas em um ensino mais completo, diversificado e integrador.</w:t>
      </w:r>
      <w:r>
        <w:rPr>
          <w:color w:val="000000" w:themeColor="text1"/>
        </w:rPr>
        <w:t xml:space="preserve"> </w:t>
      </w:r>
      <w:r w:rsidR="00995547" w:rsidRPr="00995547">
        <w:rPr>
          <w:color w:val="000000" w:themeColor="text1"/>
        </w:rPr>
        <w:t>Em síntese, o Programa Escola em Tempo Integral representa uma oportunidade única de transformação da educação básica no Brasil, oferecendo a estudantes de diferentes realidades sociais a chance de um aprendizado mais completo e equitativo.</w:t>
      </w:r>
    </w:p>
    <w:p w:rsidR="002C6B6B" w:rsidRDefault="002C6B6B" w:rsidP="00995547">
      <w:pPr>
        <w:spacing w:line="240" w:lineRule="auto"/>
        <w:jc w:val="both"/>
        <w:rPr>
          <w:b/>
          <w:color w:val="000000" w:themeColor="text1"/>
          <w:u w:val="single"/>
        </w:rPr>
      </w:pPr>
      <w:r>
        <w:rPr>
          <w:color w:val="000000" w:themeColor="text1"/>
        </w:rPr>
        <w:tab/>
      </w:r>
      <w:r w:rsidR="00210495">
        <w:rPr>
          <w:b/>
          <w:color w:val="000000" w:themeColor="text1"/>
          <w:u w:val="single"/>
        </w:rPr>
        <w:t>2. DA VANTAJOSIDADE</w:t>
      </w:r>
    </w:p>
    <w:p w:rsidR="00995547" w:rsidRPr="00E7583A" w:rsidRDefault="0033139D" w:rsidP="00995547">
      <w:pPr>
        <w:spacing w:line="240" w:lineRule="auto"/>
        <w:jc w:val="both"/>
        <w:rPr>
          <w:color w:val="000000" w:themeColor="text1"/>
        </w:rPr>
      </w:pPr>
      <w:r>
        <w:rPr>
          <w:color w:val="000000" w:themeColor="text1"/>
        </w:rPr>
        <w:tab/>
      </w:r>
      <w:r w:rsidR="00995547" w:rsidRPr="00E7583A">
        <w:rPr>
          <w:color w:val="000000" w:themeColor="text1"/>
        </w:rPr>
        <w:t>Considerando a impossibilidade de execução direta pela Administração, tendo em vista a inexistência de cargos criados, os altos custos decorrentes de contratação estatutária, bem como os prazos incompatíveis para realização de concurso público e a necessidade de pessoal com car</w:t>
      </w:r>
      <w:r w:rsidR="00995547">
        <w:rPr>
          <w:color w:val="000000" w:themeColor="text1"/>
        </w:rPr>
        <w:t>ga horária ampliada e contínua;</w:t>
      </w:r>
    </w:p>
    <w:p w:rsidR="00995547" w:rsidRDefault="00565FDB" w:rsidP="00995547">
      <w:pPr>
        <w:spacing w:line="240" w:lineRule="auto"/>
        <w:jc w:val="both"/>
        <w:rPr>
          <w:color w:val="000000" w:themeColor="text1"/>
        </w:rPr>
      </w:pPr>
      <w:r>
        <w:rPr>
          <w:color w:val="000000" w:themeColor="text1"/>
        </w:rPr>
        <w:tab/>
      </w:r>
      <w:r w:rsidR="00995547" w:rsidRPr="00E7583A">
        <w:rPr>
          <w:color w:val="000000" w:themeColor="text1"/>
        </w:rPr>
        <w:t>Considerando que a execução direta do projeto por professores da rede demandaria recursos significativamente maiores, como demonstrado na estimativa de custos elaborada pelo Departamento de Educação</w:t>
      </w:r>
      <w:r w:rsidR="00995547">
        <w:rPr>
          <w:color w:val="000000" w:themeColor="text1"/>
        </w:rPr>
        <w:t xml:space="preserve"> e Recursos Humanos</w:t>
      </w:r>
      <w:r w:rsidR="00995547" w:rsidRPr="00E7583A">
        <w:rPr>
          <w:color w:val="000000" w:themeColor="text1"/>
        </w:rPr>
        <w:t>, a qual</w:t>
      </w:r>
      <w:r w:rsidR="00995547">
        <w:rPr>
          <w:color w:val="000000" w:themeColor="text1"/>
        </w:rPr>
        <w:t xml:space="preserve"> aponta o valor aproximado de </w:t>
      </w:r>
      <w:r w:rsidR="0033139D" w:rsidRPr="0033139D">
        <w:rPr>
          <w:b/>
          <w:color w:val="000000" w:themeColor="text1"/>
        </w:rPr>
        <w:t>R$ 8.</w:t>
      </w:r>
      <w:r w:rsidR="00210495">
        <w:rPr>
          <w:b/>
          <w:color w:val="000000" w:themeColor="text1"/>
        </w:rPr>
        <w:t>687.181,96</w:t>
      </w:r>
      <w:r w:rsidR="0033139D" w:rsidRPr="0033139D">
        <w:rPr>
          <w:b/>
          <w:color w:val="000000" w:themeColor="text1"/>
        </w:rPr>
        <w:t xml:space="preserve"> </w:t>
      </w:r>
      <w:r w:rsidR="00995547" w:rsidRPr="0033139D">
        <w:rPr>
          <w:b/>
          <w:color w:val="000000" w:themeColor="text1"/>
        </w:rPr>
        <w:t>anuais</w:t>
      </w:r>
      <w:r w:rsidR="00995547">
        <w:rPr>
          <w:color w:val="000000" w:themeColor="text1"/>
        </w:rPr>
        <w:t xml:space="preserve"> pa</w:t>
      </w:r>
      <w:r w:rsidR="00210495">
        <w:rPr>
          <w:color w:val="000000" w:themeColor="text1"/>
        </w:rPr>
        <w:t>ra 111 professores, 3</w:t>
      </w:r>
      <w:r w:rsidR="00995547">
        <w:rPr>
          <w:color w:val="000000" w:themeColor="text1"/>
        </w:rPr>
        <w:t xml:space="preserve"> auxiliar</w:t>
      </w:r>
      <w:r w:rsidR="00210495">
        <w:rPr>
          <w:color w:val="000000" w:themeColor="text1"/>
        </w:rPr>
        <w:t>es</w:t>
      </w:r>
      <w:r w:rsidR="00995547">
        <w:rPr>
          <w:color w:val="000000" w:themeColor="text1"/>
        </w:rPr>
        <w:t xml:space="preserve"> administrativo e 1 coordenador pedagógico</w:t>
      </w:r>
      <w:r w:rsidR="00995547" w:rsidRPr="00E7583A">
        <w:rPr>
          <w:color w:val="000000" w:themeColor="text1"/>
        </w:rPr>
        <w:t>, além de implicar lacunas de atendimento, já que a jornada docente não contempla o período integral de permanência do</w:t>
      </w:r>
      <w:r w:rsidR="00995547">
        <w:rPr>
          <w:color w:val="000000" w:themeColor="text1"/>
        </w:rPr>
        <w:t>s alunos nas unidades escolares:</w:t>
      </w:r>
    </w:p>
    <w:tbl>
      <w:tblPr>
        <w:tblW w:w="9346" w:type="dxa"/>
        <w:tblCellMar>
          <w:left w:w="70" w:type="dxa"/>
          <w:right w:w="70" w:type="dxa"/>
        </w:tblCellMar>
        <w:tblLook w:val="04A0" w:firstRow="1" w:lastRow="0" w:firstColumn="1" w:lastColumn="0" w:noHBand="0" w:noVBand="1"/>
      </w:tblPr>
      <w:tblGrid>
        <w:gridCol w:w="5093"/>
        <w:gridCol w:w="2268"/>
        <w:gridCol w:w="1985"/>
      </w:tblGrid>
      <w:tr w:rsidR="00995547" w:rsidRPr="006E3100" w:rsidTr="00995547">
        <w:trPr>
          <w:trHeight w:val="270"/>
        </w:trPr>
        <w:tc>
          <w:tcPr>
            <w:tcW w:w="9346" w:type="dxa"/>
            <w:gridSpan w:val="3"/>
            <w:tcBorders>
              <w:top w:val="single" w:sz="8" w:space="0" w:color="auto"/>
              <w:left w:val="single" w:sz="8" w:space="0" w:color="auto"/>
              <w:bottom w:val="single" w:sz="8" w:space="0" w:color="auto"/>
              <w:right w:val="single" w:sz="8" w:space="0" w:color="000000"/>
            </w:tcBorders>
            <w:shd w:val="clear" w:color="000000" w:fill="FFFF00"/>
            <w:vAlign w:val="center"/>
            <w:hideMark/>
          </w:tcPr>
          <w:p w:rsidR="00995547" w:rsidRPr="006E3100" w:rsidRDefault="00995547" w:rsidP="00995547">
            <w:pPr>
              <w:spacing w:after="0" w:line="240" w:lineRule="auto"/>
              <w:jc w:val="center"/>
              <w:rPr>
                <w:rFonts w:eastAsia="Times New Roman" w:cs="Calibri"/>
                <w:b/>
                <w:bCs/>
                <w:sz w:val="20"/>
                <w:szCs w:val="20"/>
                <w:lang w:eastAsia="pt-BR"/>
              </w:rPr>
            </w:pPr>
            <w:r w:rsidRPr="006E3100">
              <w:rPr>
                <w:rFonts w:eastAsia="Times New Roman" w:cs="Calibri"/>
                <w:b/>
                <w:bCs/>
                <w:sz w:val="20"/>
                <w:szCs w:val="20"/>
                <w:lang w:eastAsia="pt-BR"/>
              </w:rPr>
              <w:lastRenderedPageBreak/>
              <w:t>PROFESSOR DE ENSINO FUNDAMENTAL</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Tipo Despesa</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Valor mensal</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Valor anual</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1 servidor</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1 servidor</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Salário base</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4.059,00</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48.708,00</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IPSJBV (empregador) 22%</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892,98</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10.715,76</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13º salário (proporc/integral)</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338,25</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4.059,00</w:t>
            </w:r>
          </w:p>
        </w:tc>
      </w:tr>
      <w:tr w:rsidR="00995547" w:rsidRPr="006E3100" w:rsidTr="00995547">
        <w:trPr>
          <w:trHeight w:val="510"/>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IPSJBV (empregador) s/ 13º 22%</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74,42</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892,98</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1/3 férias</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112,75</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1.353,00</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Cheque Férias</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225,50</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2.706,00</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Auxílio Alimentação</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583,00</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6.996,00</w:t>
            </w:r>
          </w:p>
        </w:tc>
      </w:tr>
      <w:tr w:rsidR="00995547" w:rsidRPr="006E3100" w:rsidTr="00995547">
        <w:trPr>
          <w:trHeight w:val="270"/>
        </w:trPr>
        <w:tc>
          <w:tcPr>
            <w:tcW w:w="5093" w:type="dxa"/>
            <w:tcBorders>
              <w:top w:val="nil"/>
              <w:left w:val="single" w:sz="8" w:space="0" w:color="auto"/>
              <w:bottom w:val="single" w:sz="8"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TOTAIS</w:t>
            </w:r>
          </w:p>
        </w:tc>
        <w:tc>
          <w:tcPr>
            <w:tcW w:w="2268" w:type="dxa"/>
            <w:tcBorders>
              <w:top w:val="nil"/>
              <w:left w:val="nil"/>
              <w:bottom w:val="single" w:sz="8"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color w:val="000000"/>
                <w:sz w:val="20"/>
                <w:szCs w:val="20"/>
                <w:lang w:eastAsia="pt-BR"/>
              </w:rPr>
              <w:t xml:space="preserve">R$ </w:t>
            </w:r>
            <w:r w:rsidRPr="00995547">
              <w:rPr>
                <w:rFonts w:eastAsia="Times New Roman" w:cs="Calibri"/>
                <w:b/>
                <w:bCs/>
                <w:color w:val="000000"/>
                <w:sz w:val="20"/>
                <w:szCs w:val="20"/>
                <w:lang w:eastAsia="pt-BR"/>
              </w:rPr>
              <w:t>6.285,90</w:t>
            </w:r>
          </w:p>
        </w:tc>
        <w:tc>
          <w:tcPr>
            <w:tcW w:w="1985" w:type="dxa"/>
            <w:tcBorders>
              <w:top w:val="nil"/>
              <w:left w:val="nil"/>
              <w:bottom w:val="single" w:sz="8"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color w:val="000000"/>
                <w:sz w:val="20"/>
                <w:szCs w:val="20"/>
                <w:lang w:eastAsia="pt-BR"/>
              </w:rPr>
              <w:t xml:space="preserve">R$ </w:t>
            </w:r>
            <w:r w:rsidRPr="00995547">
              <w:rPr>
                <w:rFonts w:eastAsia="Times New Roman" w:cs="Calibri"/>
                <w:b/>
                <w:bCs/>
                <w:color w:val="000000"/>
                <w:sz w:val="20"/>
                <w:szCs w:val="20"/>
                <w:lang w:eastAsia="pt-BR"/>
              </w:rPr>
              <w:t>75.430,74</w:t>
            </w:r>
          </w:p>
        </w:tc>
      </w:tr>
    </w:tbl>
    <w:p w:rsidR="00995547" w:rsidRPr="00E7583A" w:rsidRDefault="00995547" w:rsidP="00995547">
      <w:pPr>
        <w:spacing w:line="240" w:lineRule="auto"/>
        <w:jc w:val="both"/>
        <w:rPr>
          <w:color w:val="000000" w:themeColor="text1"/>
        </w:rPr>
      </w:pPr>
    </w:p>
    <w:tbl>
      <w:tblPr>
        <w:tblW w:w="9346" w:type="dxa"/>
        <w:tblCellMar>
          <w:left w:w="70" w:type="dxa"/>
          <w:right w:w="70" w:type="dxa"/>
        </w:tblCellMar>
        <w:tblLook w:val="04A0" w:firstRow="1" w:lastRow="0" w:firstColumn="1" w:lastColumn="0" w:noHBand="0" w:noVBand="1"/>
      </w:tblPr>
      <w:tblGrid>
        <w:gridCol w:w="5093"/>
        <w:gridCol w:w="2268"/>
        <w:gridCol w:w="1985"/>
      </w:tblGrid>
      <w:tr w:rsidR="00995547" w:rsidRPr="006E3100" w:rsidTr="00995547">
        <w:trPr>
          <w:trHeight w:val="270"/>
        </w:trPr>
        <w:tc>
          <w:tcPr>
            <w:tcW w:w="9346" w:type="dxa"/>
            <w:gridSpan w:val="3"/>
            <w:tcBorders>
              <w:top w:val="single" w:sz="8" w:space="0" w:color="auto"/>
              <w:left w:val="single" w:sz="8" w:space="0" w:color="auto"/>
              <w:bottom w:val="single" w:sz="8" w:space="0" w:color="auto"/>
              <w:right w:val="single" w:sz="8" w:space="0" w:color="000000"/>
            </w:tcBorders>
            <w:shd w:val="clear" w:color="000000" w:fill="FFFF00"/>
            <w:vAlign w:val="center"/>
            <w:hideMark/>
          </w:tcPr>
          <w:p w:rsidR="00995547" w:rsidRPr="006E3100" w:rsidRDefault="00995547" w:rsidP="00995547">
            <w:pPr>
              <w:spacing w:after="0" w:line="240" w:lineRule="auto"/>
              <w:jc w:val="center"/>
              <w:rPr>
                <w:rFonts w:eastAsia="Times New Roman" w:cs="Calibri"/>
                <w:b/>
                <w:bCs/>
                <w:sz w:val="20"/>
                <w:szCs w:val="20"/>
                <w:lang w:eastAsia="pt-BR"/>
              </w:rPr>
            </w:pPr>
            <w:r w:rsidRPr="006E3100">
              <w:rPr>
                <w:rFonts w:eastAsia="Times New Roman" w:cs="Calibri"/>
                <w:b/>
                <w:bCs/>
                <w:sz w:val="20"/>
                <w:szCs w:val="20"/>
                <w:lang w:eastAsia="pt-BR"/>
              </w:rPr>
              <w:t>COORDENADOR PEDAGÓGICO</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Tipo Despesa</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Valor mensal</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Valor anual</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1 servidor</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1 servidor</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Salário base</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4.721,53</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56.658,36</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Diferença de Piso Nacional</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146,24</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1.754,88</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IPSJBV (empregador) 22%</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1.070,91</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12.850,91</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13º salário (proporc/integral)</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405,65</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4.867,77</w:t>
            </w:r>
          </w:p>
        </w:tc>
      </w:tr>
      <w:tr w:rsidR="00995547" w:rsidRPr="006E3100" w:rsidTr="00995547">
        <w:trPr>
          <w:trHeight w:val="510"/>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IPSJBV (empregador) s/ 13º 22%</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89,24</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1.070,91</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1/3 férias</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135,22</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1.622,59</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Cheque Férias</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270,43</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3.245,18</w:t>
            </w:r>
          </w:p>
        </w:tc>
      </w:tr>
      <w:tr w:rsidR="00995547" w:rsidRPr="006E3100"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sidRPr="006E3100">
              <w:rPr>
                <w:rFonts w:eastAsia="Times New Roman" w:cs="Calibri"/>
                <w:color w:val="000000"/>
                <w:sz w:val="20"/>
                <w:szCs w:val="20"/>
                <w:lang w:eastAsia="pt-BR"/>
              </w:rPr>
              <w:t>Auxílio Alimentação</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583,00</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6E3100">
              <w:rPr>
                <w:rFonts w:eastAsia="Times New Roman" w:cs="Calibri"/>
                <w:color w:val="000000"/>
                <w:sz w:val="20"/>
                <w:szCs w:val="20"/>
                <w:lang w:eastAsia="pt-BR"/>
              </w:rPr>
              <w:t>6.996,00</w:t>
            </w:r>
          </w:p>
        </w:tc>
      </w:tr>
      <w:tr w:rsidR="00995547" w:rsidRPr="006E3100" w:rsidTr="00995547">
        <w:trPr>
          <w:trHeight w:val="270"/>
        </w:trPr>
        <w:tc>
          <w:tcPr>
            <w:tcW w:w="5093" w:type="dxa"/>
            <w:tcBorders>
              <w:top w:val="nil"/>
              <w:left w:val="single" w:sz="8" w:space="0" w:color="auto"/>
              <w:bottom w:val="single" w:sz="8" w:space="0" w:color="auto"/>
              <w:right w:val="single" w:sz="4" w:space="0" w:color="auto"/>
            </w:tcBorders>
            <w:shd w:val="clear" w:color="auto" w:fill="auto"/>
            <w:noWrap/>
            <w:vAlign w:val="center"/>
            <w:hideMark/>
          </w:tcPr>
          <w:p w:rsidR="00995547" w:rsidRPr="006E3100" w:rsidRDefault="00995547" w:rsidP="00995547">
            <w:pPr>
              <w:spacing w:after="0" w:line="240" w:lineRule="auto"/>
              <w:jc w:val="center"/>
              <w:rPr>
                <w:rFonts w:eastAsia="Times New Roman" w:cs="Calibri"/>
                <w:b/>
                <w:bCs/>
                <w:color w:val="000000"/>
                <w:sz w:val="20"/>
                <w:szCs w:val="20"/>
                <w:lang w:eastAsia="pt-BR"/>
              </w:rPr>
            </w:pPr>
            <w:r w:rsidRPr="006E3100">
              <w:rPr>
                <w:rFonts w:eastAsia="Times New Roman" w:cs="Calibri"/>
                <w:b/>
                <w:bCs/>
                <w:color w:val="000000"/>
                <w:sz w:val="20"/>
                <w:szCs w:val="20"/>
                <w:lang w:eastAsia="pt-BR"/>
              </w:rPr>
              <w:t>TOTAIS</w:t>
            </w:r>
          </w:p>
        </w:tc>
        <w:tc>
          <w:tcPr>
            <w:tcW w:w="2268" w:type="dxa"/>
            <w:tcBorders>
              <w:top w:val="nil"/>
              <w:left w:val="nil"/>
              <w:bottom w:val="single" w:sz="8"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color w:val="000000"/>
                <w:sz w:val="20"/>
                <w:szCs w:val="20"/>
                <w:lang w:eastAsia="pt-BR"/>
              </w:rPr>
              <w:t xml:space="preserve">R$ </w:t>
            </w:r>
            <w:r w:rsidRPr="00995547">
              <w:rPr>
                <w:rFonts w:eastAsia="Times New Roman" w:cs="Calibri"/>
                <w:b/>
                <w:bCs/>
                <w:color w:val="000000"/>
                <w:sz w:val="20"/>
                <w:szCs w:val="20"/>
                <w:lang w:eastAsia="pt-BR"/>
              </w:rPr>
              <w:t>7.422,22</w:t>
            </w:r>
          </w:p>
        </w:tc>
        <w:tc>
          <w:tcPr>
            <w:tcW w:w="1985" w:type="dxa"/>
            <w:tcBorders>
              <w:top w:val="nil"/>
              <w:left w:val="nil"/>
              <w:bottom w:val="single" w:sz="8"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color w:val="000000"/>
                <w:sz w:val="20"/>
                <w:szCs w:val="20"/>
                <w:lang w:eastAsia="pt-BR"/>
              </w:rPr>
              <w:t xml:space="preserve">R$ </w:t>
            </w:r>
            <w:r w:rsidRPr="00995547">
              <w:rPr>
                <w:rFonts w:eastAsia="Times New Roman" w:cs="Calibri"/>
                <w:b/>
                <w:bCs/>
                <w:color w:val="000000"/>
                <w:sz w:val="20"/>
                <w:szCs w:val="20"/>
                <w:lang w:eastAsia="pt-BR"/>
              </w:rPr>
              <w:t>89.066,60</w:t>
            </w:r>
          </w:p>
        </w:tc>
      </w:tr>
    </w:tbl>
    <w:p w:rsidR="00995547" w:rsidRDefault="00995547" w:rsidP="00995547">
      <w:pPr>
        <w:spacing w:line="240" w:lineRule="auto"/>
        <w:jc w:val="both"/>
        <w:rPr>
          <w:color w:val="000000" w:themeColor="text1"/>
        </w:rPr>
      </w:pPr>
    </w:p>
    <w:tbl>
      <w:tblPr>
        <w:tblW w:w="9346" w:type="dxa"/>
        <w:tblCellMar>
          <w:left w:w="70" w:type="dxa"/>
          <w:right w:w="70" w:type="dxa"/>
        </w:tblCellMar>
        <w:tblLook w:val="04A0" w:firstRow="1" w:lastRow="0" w:firstColumn="1" w:lastColumn="0" w:noHBand="0" w:noVBand="1"/>
      </w:tblPr>
      <w:tblGrid>
        <w:gridCol w:w="5093"/>
        <w:gridCol w:w="2268"/>
        <w:gridCol w:w="1985"/>
      </w:tblGrid>
      <w:tr w:rsidR="00995547" w:rsidRPr="00995547" w:rsidTr="00995547">
        <w:trPr>
          <w:trHeight w:val="270"/>
        </w:trPr>
        <w:tc>
          <w:tcPr>
            <w:tcW w:w="9346" w:type="dxa"/>
            <w:gridSpan w:val="3"/>
            <w:tcBorders>
              <w:top w:val="single" w:sz="8" w:space="0" w:color="auto"/>
              <w:left w:val="single" w:sz="8" w:space="0" w:color="auto"/>
              <w:bottom w:val="single" w:sz="8" w:space="0" w:color="auto"/>
              <w:right w:val="single" w:sz="8" w:space="0" w:color="000000"/>
            </w:tcBorders>
            <w:shd w:val="clear" w:color="000000" w:fill="FFFF00"/>
            <w:vAlign w:val="center"/>
            <w:hideMark/>
          </w:tcPr>
          <w:p w:rsidR="00995547" w:rsidRPr="00995547" w:rsidRDefault="00995547" w:rsidP="00995547">
            <w:pPr>
              <w:spacing w:after="0" w:line="240" w:lineRule="auto"/>
              <w:jc w:val="center"/>
              <w:rPr>
                <w:rFonts w:eastAsia="Times New Roman" w:cs="Calibri"/>
                <w:b/>
                <w:bCs/>
                <w:sz w:val="20"/>
                <w:szCs w:val="20"/>
                <w:lang w:eastAsia="pt-BR"/>
              </w:rPr>
            </w:pPr>
            <w:r w:rsidRPr="00995547">
              <w:rPr>
                <w:rFonts w:eastAsia="Times New Roman" w:cs="Calibri"/>
                <w:b/>
                <w:bCs/>
                <w:sz w:val="20"/>
                <w:szCs w:val="20"/>
                <w:lang w:eastAsia="pt-BR"/>
              </w:rPr>
              <w:t>AUXILIAR ADMINISTRATIVO</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bCs/>
                <w:color w:val="000000"/>
                <w:sz w:val="20"/>
                <w:szCs w:val="20"/>
                <w:lang w:eastAsia="pt-BR"/>
              </w:rPr>
              <w:t>Tipo Despesa</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bCs/>
                <w:color w:val="000000"/>
                <w:sz w:val="20"/>
                <w:szCs w:val="20"/>
                <w:lang w:eastAsia="pt-BR"/>
              </w:rPr>
              <w:t>Valor mensal</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bCs/>
                <w:color w:val="000000"/>
                <w:sz w:val="20"/>
                <w:szCs w:val="20"/>
                <w:lang w:eastAsia="pt-BR"/>
              </w:rPr>
              <w:t>Valor anual</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bCs/>
                <w:color w:val="000000"/>
                <w:sz w:val="20"/>
                <w:szCs w:val="20"/>
                <w:lang w:eastAsia="pt-BR"/>
              </w:rPr>
              <w:t>1 servidor</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bCs/>
                <w:color w:val="000000"/>
                <w:sz w:val="20"/>
                <w:szCs w:val="20"/>
                <w:lang w:eastAsia="pt-BR"/>
              </w:rPr>
              <w:t>1 servidor</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sidRPr="00995547">
              <w:rPr>
                <w:rFonts w:eastAsia="Times New Roman" w:cs="Calibri"/>
                <w:color w:val="000000"/>
                <w:sz w:val="20"/>
                <w:szCs w:val="20"/>
                <w:lang w:eastAsia="pt-BR"/>
              </w:rPr>
              <w:t>Salário base</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2.278,54</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27.342,48</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sidRPr="00995547">
              <w:rPr>
                <w:rFonts w:eastAsia="Times New Roman" w:cs="Calibri"/>
                <w:color w:val="000000"/>
                <w:sz w:val="20"/>
                <w:szCs w:val="20"/>
                <w:lang w:eastAsia="pt-BR"/>
              </w:rPr>
              <w:t>IPSJBV (empregador) 22%</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501,28</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6.015,35</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sidRPr="00995547">
              <w:rPr>
                <w:rFonts w:eastAsia="Times New Roman" w:cs="Calibri"/>
                <w:color w:val="000000"/>
                <w:sz w:val="20"/>
                <w:szCs w:val="20"/>
                <w:lang w:eastAsia="pt-BR"/>
              </w:rPr>
              <w:t>13º salário (proporc/integral)</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189,88</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2.278,54</w:t>
            </w:r>
          </w:p>
        </w:tc>
      </w:tr>
      <w:tr w:rsidR="00995547" w:rsidRPr="00995547" w:rsidTr="00995547">
        <w:trPr>
          <w:trHeight w:val="510"/>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sidRPr="00995547">
              <w:rPr>
                <w:rFonts w:eastAsia="Times New Roman" w:cs="Calibri"/>
                <w:color w:val="000000"/>
                <w:sz w:val="20"/>
                <w:szCs w:val="20"/>
                <w:lang w:eastAsia="pt-BR"/>
              </w:rPr>
              <w:t>IPSJBV (empregador) s/ 13º 22%</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41,77</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501,28</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sidRPr="00995547">
              <w:rPr>
                <w:rFonts w:eastAsia="Times New Roman" w:cs="Calibri"/>
                <w:color w:val="000000"/>
                <w:sz w:val="20"/>
                <w:szCs w:val="20"/>
                <w:lang w:eastAsia="pt-BR"/>
              </w:rPr>
              <w:t>1/3 férias</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63,29</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759,51</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sidRPr="00995547">
              <w:rPr>
                <w:rFonts w:eastAsia="Times New Roman" w:cs="Calibri"/>
                <w:color w:val="000000"/>
                <w:sz w:val="20"/>
                <w:szCs w:val="20"/>
                <w:lang w:eastAsia="pt-BR"/>
              </w:rPr>
              <w:t>Cheque Férias</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126,59</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1.519,03</w:t>
            </w:r>
          </w:p>
        </w:tc>
      </w:tr>
      <w:tr w:rsidR="00995547" w:rsidRPr="00995547" w:rsidTr="00995547">
        <w:trPr>
          <w:trHeight w:val="255"/>
        </w:trPr>
        <w:tc>
          <w:tcPr>
            <w:tcW w:w="5093" w:type="dxa"/>
            <w:tcBorders>
              <w:top w:val="nil"/>
              <w:left w:val="single" w:sz="8" w:space="0" w:color="auto"/>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sidRPr="00995547">
              <w:rPr>
                <w:rFonts w:eastAsia="Times New Roman" w:cs="Calibri"/>
                <w:color w:val="000000"/>
                <w:sz w:val="20"/>
                <w:szCs w:val="20"/>
                <w:lang w:eastAsia="pt-BR"/>
              </w:rPr>
              <w:t>Auxílio Alimentação</w:t>
            </w:r>
          </w:p>
        </w:tc>
        <w:tc>
          <w:tcPr>
            <w:tcW w:w="2268" w:type="dxa"/>
            <w:tcBorders>
              <w:top w:val="nil"/>
              <w:left w:val="nil"/>
              <w:bottom w:val="single" w:sz="4"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583,00</w:t>
            </w:r>
          </w:p>
        </w:tc>
        <w:tc>
          <w:tcPr>
            <w:tcW w:w="1985" w:type="dxa"/>
            <w:tcBorders>
              <w:top w:val="nil"/>
              <w:left w:val="nil"/>
              <w:bottom w:val="single" w:sz="4"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color w:val="000000"/>
                <w:sz w:val="20"/>
                <w:szCs w:val="20"/>
                <w:lang w:eastAsia="pt-BR"/>
              </w:rPr>
            </w:pPr>
            <w:r>
              <w:rPr>
                <w:rFonts w:eastAsia="Times New Roman" w:cs="Calibri"/>
                <w:color w:val="000000"/>
                <w:sz w:val="20"/>
                <w:szCs w:val="20"/>
                <w:lang w:eastAsia="pt-BR"/>
              </w:rPr>
              <w:t xml:space="preserve">R$ </w:t>
            </w:r>
            <w:r w:rsidRPr="00995547">
              <w:rPr>
                <w:rFonts w:eastAsia="Times New Roman" w:cs="Calibri"/>
                <w:color w:val="000000"/>
                <w:sz w:val="20"/>
                <w:szCs w:val="20"/>
                <w:lang w:eastAsia="pt-BR"/>
              </w:rPr>
              <w:t>6.996,00</w:t>
            </w:r>
          </w:p>
        </w:tc>
      </w:tr>
      <w:tr w:rsidR="00995547" w:rsidRPr="00995547" w:rsidTr="00995547">
        <w:trPr>
          <w:trHeight w:val="270"/>
        </w:trPr>
        <w:tc>
          <w:tcPr>
            <w:tcW w:w="5093" w:type="dxa"/>
            <w:tcBorders>
              <w:top w:val="nil"/>
              <w:left w:val="single" w:sz="8" w:space="0" w:color="auto"/>
              <w:bottom w:val="single" w:sz="8"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bCs/>
                <w:color w:val="000000"/>
                <w:sz w:val="20"/>
                <w:szCs w:val="20"/>
                <w:lang w:eastAsia="pt-BR"/>
              </w:rPr>
              <w:t>TOTAIS</w:t>
            </w:r>
          </w:p>
        </w:tc>
        <w:tc>
          <w:tcPr>
            <w:tcW w:w="2268" w:type="dxa"/>
            <w:tcBorders>
              <w:top w:val="nil"/>
              <w:left w:val="nil"/>
              <w:bottom w:val="single" w:sz="8" w:space="0" w:color="auto"/>
              <w:right w:val="single" w:sz="4"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color w:val="000000"/>
                <w:sz w:val="20"/>
                <w:szCs w:val="20"/>
                <w:lang w:eastAsia="pt-BR"/>
              </w:rPr>
              <w:t xml:space="preserve">R$ </w:t>
            </w:r>
            <w:r w:rsidRPr="00995547">
              <w:rPr>
                <w:rFonts w:eastAsia="Times New Roman" w:cs="Calibri"/>
                <w:b/>
                <w:bCs/>
                <w:color w:val="000000"/>
                <w:sz w:val="20"/>
                <w:szCs w:val="20"/>
                <w:lang w:eastAsia="pt-BR"/>
              </w:rPr>
              <w:t>3.784,35</w:t>
            </w:r>
          </w:p>
        </w:tc>
        <w:tc>
          <w:tcPr>
            <w:tcW w:w="1985" w:type="dxa"/>
            <w:tcBorders>
              <w:top w:val="nil"/>
              <w:left w:val="nil"/>
              <w:bottom w:val="single" w:sz="8" w:space="0" w:color="auto"/>
              <w:right w:val="single" w:sz="8" w:space="0" w:color="auto"/>
            </w:tcBorders>
            <w:shd w:val="clear" w:color="auto" w:fill="auto"/>
            <w:noWrap/>
            <w:vAlign w:val="center"/>
            <w:hideMark/>
          </w:tcPr>
          <w:p w:rsidR="00995547" w:rsidRPr="00995547" w:rsidRDefault="00995547" w:rsidP="00995547">
            <w:pPr>
              <w:spacing w:after="0" w:line="240" w:lineRule="auto"/>
              <w:jc w:val="center"/>
              <w:rPr>
                <w:rFonts w:eastAsia="Times New Roman" w:cs="Calibri"/>
                <w:b/>
                <w:bCs/>
                <w:color w:val="000000"/>
                <w:sz w:val="20"/>
                <w:szCs w:val="20"/>
                <w:lang w:eastAsia="pt-BR"/>
              </w:rPr>
            </w:pPr>
            <w:r w:rsidRPr="00995547">
              <w:rPr>
                <w:rFonts w:eastAsia="Times New Roman" w:cs="Calibri"/>
                <w:b/>
                <w:color w:val="000000"/>
                <w:sz w:val="20"/>
                <w:szCs w:val="20"/>
                <w:lang w:eastAsia="pt-BR"/>
              </w:rPr>
              <w:t xml:space="preserve">R$ </w:t>
            </w:r>
            <w:r w:rsidRPr="00995547">
              <w:rPr>
                <w:rFonts w:eastAsia="Times New Roman" w:cs="Calibri"/>
                <w:b/>
                <w:bCs/>
                <w:color w:val="000000"/>
                <w:sz w:val="20"/>
                <w:szCs w:val="20"/>
                <w:lang w:eastAsia="pt-BR"/>
              </w:rPr>
              <w:t>45.412,18</w:t>
            </w:r>
          </w:p>
        </w:tc>
      </w:tr>
    </w:tbl>
    <w:p w:rsidR="00995547" w:rsidRDefault="00995547" w:rsidP="00995547">
      <w:pPr>
        <w:spacing w:line="240" w:lineRule="auto"/>
        <w:jc w:val="both"/>
        <w:rPr>
          <w:color w:val="000000" w:themeColor="text1"/>
        </w:rPr>
      </w:pPr>
    </w:p>
    <w:tbl>
      <w:tblPr>
        <w:tblStyle w:val="Tabelacomgrade"/>
        <w:tblW w:w="9351" w:type="dxa"/>
        <w:tblLook w:val="04A0" w:firstRow="1" w:lastRow="0" w:firstColumn="1" w:lastColumn="0" w:noHBand="0" w:noVBand="1"/>
      </w:tblPr>
      <w:tblGrid>
        <w:gridCol w:w="7366"/>
        <w:gridCol w:w="1985"/>
      </w:tblGrid>
      <w:tr w:rsidR="00995547" w:rsidRPr="00DB7BEB" w:rsidTr="00565FDB">
        <w:trPr>
          <w:trHeight w:val="255"/>
        </w:trPr>
        <w:tc>
          <w:tcPr>
            <w:tcW w:w="7366" w:type="dxa"/>
            <w:noWrap/>
            <w:hideMark/>
          </w:tcPr>
          <w:p w:rsidR="00995547" w:rsidRPr="00565FDB" w:rsidRDefault="0033139D" w:rsidP="00A57565">
            <w:pPr>
              <w:jc w:val="both"/>
              <w:rPr>
                <w:rFonts w:cs="Calibri"/>
                <w:sz w:val="20"/>
              </w:rPr>
            </w:pPr>
            <w:r w:rsidRPr="00565FDB">
              <w:rPr>
                <w:rFonts w:cs="Calibri"/>
                <w:sz w:val="20"/>
              </w:rPr>
              <w:t>116</w:t>
            </w:r>
            <w:r w:rsidR="00995547" w:rsidRPr="00565FDB">
              <w:rPr>
                <w:rFonts w:cs="Calibri"/>
                <w:sz w:val="20"/>
              </w:rPr>
              <w:t xml:space="preserve"> Professores</w:t>
            </w:r>
          </w:p>
        </w:tc>
        <w:tc>
          <w:tcPr>
            <w:tcW w:w="1985" w:type="dxa"/>
            <w:noWrap/>
            <w:hideMark/>
          </w:tcPr>
          <w:p w:rsidR="00995547" w:rsidRPr="00565FDB" w:rsidRDefault="00995547" w:rsidP="00210495">
            <w:pPr>
              <w:jc w:val="both"/>
              <w:rPr>
                <w:rFonts w:cs="Calibri"/>
                <w:sz w:val="20"/>
              </w:rPr>
            </w:pPr>
            <w:r w:rsidRPr="00565FDB">
              <w:rPr>
                <w:rFonts w:cs="Calibri"/>
                <w:sz w:val="20"/>
              </w:rPr>
              <w:t>R</w:t>
            </w:r>
            <w:r w:rsidR="0033139D" w:rsidRPr="00565FDB">
              <w:rPr>
                <w:rFonts w:cs="Calibri"/>
                <w:sz w:val="20"/>
              </w:rPr>
              <w:t>$ 8.</w:t>
            </w:r>
            <w:r w:rsidR="00210495">
              <w:rPr>
                <w:rFonts w:cs="Calibri"/>
                <w:sz w:val="20"/>
              </w:rPr>
              <w:t>372.812,14</w:t>
            </w:r>
          </w:p>
        </w:tc>
      </w:tr>
      <w:tr w:rsidR="00995547" w:rsidRPr="00DB7BEB" w:rsidTr="00565FDB">
        <w:trPr>
          <w:trHeight w:val="255"/>
        </w:trPr>
        <w:tc>
          <w:tcPr>
            <w:tcW w:w="7366" w:type="dxa"/>
            <w:noWrap/>
            <w:hideMark/>
          </w:tcPr>
          <w:p w:rsidR="00995547" w:rsidRPr="00565FDB" w:rsidRDefault="00995547" w:rsidP="00A57565">
            <w:pPr>
              <w:jc w:val="both"/>
              <w:rPr>
                <w:rFonts w:cs="Calibri"/>
                <w:sz w:val="20"/>
              </w:rPr>
            </w:pPr>
            <w:r w:rsidRPr="00565FDB">
              <w:rPr>
                <w:rFonts w:cs="Calibri"/>
                <w:sz w:val="20"/>
              </w:rPr>
              <w:t>1 Coordenador Pedagógico</w:t>
            </w:r>
          </w:p>
        </w:tc>
        <w:tc>
          <w:tcPr>
            <w:tcW w:w="1985" w:type="dxa"/>
            <w:noWrap/>
            <w:hideMark/>
          </w:tcPr>
          <w:p w:rsidR="00995547" w:rsidRPr="00565FDB" w:rsidRDefault="0033139D" w:rsidP="00A57565">
            <w:pPr>
              <w:jc w:val="both"/>
              <w:rPr>
                <w:rFonts w:cs="Calibri"/>
                <w:sz w:val="20"/>
              </w:rPr>
            </w:pPr>
            <w:r w:rsidRPr="00565FDB">
              <w:rPr>
                <w:rFonts w:cs="Calibri"/>
                <w:sz w:val="20"/>
              </w:rPr>
              <w:t xml:space="preserve">R$ </w:t>
            </w:r>
            <w:r w:rsidR="00995547" w:rsidRPr="00565FDB">
              <w:rPr>
                <w:rFonts w:cs="Calibri"/>
                <w:sz w:val="20"/>
              </w:rPr>
              <w:t>178.133,28</w:t>
            </w:r>
          </w:p>
        </w:tc>
      </w:tr>
      <w:tr w:rsidR="0033139D" w:rsidRPr="00DB7BEB" w:rsidTr="00565FDB">
        <w:trPr>
          <w:trHeight w:val="255"/>
        </w:trPr>
        <w:tc>
          <w:tcPr>
            <w:tcW w:w="7366" w:type="dxa"/>
            <w:noWrap/>
          </w:tcPr>
          <w:p w:rsidR="0033139D" w:rsidRPr="00565FDB" w:rsidRDefault="0033139D" w:rsidP="00A57565">
            <w:pPr>
              <w:jc w:val="both"/>
              <w:rPr>
                <w:rFonts w:cs="Calibri"/>
                <w:sz w:val="20"/>
              </w:rPr>
            </w:pPr>
            <w:r w:rsidRPr="00565FDB">
              <w:rPr>
                <w:rFonts w:cs="Calibri"/>
                <w:sz w:val="20"/>
              </w:rPr>
              <w:t>1 Auxiliar Administrativo</w:t>
            </w:r>
          </w:p>
        </w:tc>
        <w:tc>
          <w:tcPr>
            <w:tcW w:w="1985" w:type="dxa"/>
            <w:noWrap/>
          </w:tcPr>
          <w:p w:rsidR="0033139D" w:rsidRPr="00565FDB" w:rsidRDefault="0033139D" w:rsidP="00210495">
            <w:pPr>
              <w:jc w:val="both"/>
              <w:rPr>
                <w:rFonts w:cs="Calibri"/>
                <w:sz w:val="20"/>
              </w:rPr>
            </w:pPr>
            <w:r w:rsidRPr="00565FDB">
              <w:rPr>
                <w:rFonts w:cs="Calibri"/>
                <w:sz w:val="20"/>
              </w:rPr>
              <w:t xml:space="preserve">R$ </w:t>
            </w:r>
            <w:r w:rsidR="00210495">
              <w:rPr>
                <w:rFonts w:cs="Calibri"/>
                <w:sz w:val="20"/>
              </w:rPr>
              <w:t>136.236,54</w:t>
            </w:r>
          </w:p>
        </w:tc>
      </w:tr>
      <w:tr w:rsidR="00995547" w:rsidRPr="00DB7BEB" w:rsidTr="00565FDB">
        <w:trPr>
          <w:trHeight w:val="255"/>
        </w:trPr>
        <w:tc>
          <w:tcPr>
            <w:tcW w:w="7366" w:type="dxa"/>
            <w:noWrap/>
          </w:tcPr>
          <w:p w:rsidR="00995547" w:rsidRPr="00565FDB" w:rsidRDefault="00995547" w:rsidP="00A57565">
            <w:pPr>
              <w:jc w:val="both"/>
              <w:rPr>
                <w:rFonts w:cs="Calibri"/>
                <w:b/>
                <w:sz w:val="20"/>
              </w:rPr>
            </w:pPr>
            <w:r w:rsidRPr="00565FDB">
              <w:rPr>
                <w:rFonts w:cs="Calibri"/>
                <w:b/>
                <w:sz w:val="20"/>
              </w:rPr>
              <w:lastRenderedPageBreak/>
              <w:t>Total Geral</w:t>
            </w:r>
          </w:p>
        </w:tc>
        <w:tc>
          <w:tcPr>
            <w:tcW w:w="1985" w:type="dxa"/>
            <w:noWrap/>
          </w:tcPr>
          <w:p w:rsidR="00995547" w:rsidRPr="00565FDB" w:rsidRDefault="0033139D" w:rsidP="00210495">
            <w:pPr>
              <w:jc w:val="both"/>
              <w:rPr>
                <w:rFonts w:cs="Calibri"/>
                <w:b/>
                <w:sz w:val="20"/>
              </w:rPr>
            </w:pPr>
            <w:r w:rsidRPr="00565FDB">
              <w:rPr>
                <w:rFonts w:cs="Calibri"/>
                <w:b/>
                <w:sz w:val="20"/>
              </w:rPr>
              <w:fldChar w:fldCharType="begin"/>
            </w:r>
            <w:r w:rsidRPr="00565FDB">
              <w:rPr>
                <w:rFonts w:cs="Calibri"/>
                <w:b/>
                <w:sz w:val="20"/>
              </w:rPr>
              <w:instrText xml:space="preserve"> =SUM(ABOVE) </w:instrText>
            </w:r>
            <w:r w:rsidRPr="00565FDB">
              <w:rPr>
                <w:rFonts w:cs="Calibri"/>
                <w:b/>
                <w:sz w:val="20"/>
              </w:rPr>
              <w:fldChar w:fldCharType="separate"/>
            </w:r>
            <w:r w:rsidRPr="00565FDB">
              <w:rPr>
                <w:rFonts w:cs="Calibri"/>
                <w:b/>
                <w:noProof/>
                <w:sz w:val="20"/>
              </w:rPr>
              <w:t xml:space="preserve">R$ </w:t>
            </w:r>
            <w:r w:rsidR="00210495">
              <w:rPr>
                <w:rFonts w:cs="Calibri"/>
                <w:b/>
                <w:noProof/>
                <w:sz w:val="20"/>
              </w:rPr>
              <w:t>8.687.181,96</w:t>
            </w:r>
            <w:r w:rsidRPr="00565FDB">
              <w:rPr>
                <w:rFonts w:cs="Calibri"/>
                <w:b/>
                <w:sz w:val="20"/>
              </w:rPr>
              <w:fldChar w:fldCharType="end"/>
            </w:r>
          </w:p>
        </w:tc>
      </w:tr>
    </w:tbl>
    <w:p w:rsidR="00C56BC2" w:rsidRDefault="00C56BC2" w:rsidP="0033139D">
      <w:pPr>
        <w:spacing w:line="240" w:lineRule="auto"/>
        <w:jc w:val="both"/>
        <w:rPr>
          <w:color w:val="000000" w:themeColor="text1"/>
        </w:rPr>
      </w:pPr>
    </w:p>
    <w:p w:rsidR="0033139D" w:rsidRPr="00E7583A" w:rsidRDefault="00565FDB" w:rsidP="0033139D">
      <w:pPr>
        <w:spacing w:line="240" w:lineRule="auto"/>
        <w:jc w:val="both"/>
        <w:rPr>
          <w:color w:val="000000" w:themeColor="text1"/>
        </w:rPr>
      </w:pPr>
      <w:r>
        <w:rPr>
          <w:color w:val="000000" w:themeColor="text1"/>
        </w:rPr>
        <w:tab/>
        <w:t>Considerando</w:t>
      </w:r>
      <w:r w:rsidR="0033139D" w:rsidRPr="00E7583A">
        <w:rPr>
          <w:color w:val="000000" w:themeColor="text1"/>
        </w:rPr>
        <w:t xml:space="preserve"> que teríamos que ajustar os horários dos professores, visto que a maioria dos alunos entram às 7:00 da manhã e saem as 17:00 horas da tarde, permanecendo o dia todo e os professores de ensino fundamental</w:t>
      </w:r>
      <w:r w:rsidR="00210495">
        <w:rPr>
          <w:color w:val="000000" w:themeColor="text1"/>
        </w:rPr>
        <w:t xml:space="preserve"> (30 horas semanais)</w:t>
      </w:r>
      <w:r w:rsidR="0033139D" w:rsidRPr="00E7583A">
        <w:rPr>
          <w:color w:val="000000" w:themeColor="text1"/>
        </w:rPr>
        <w:t xml:space="preserve"> ficam das 7:00 às 11:30 no período da manhã e à tarde das 12:30 às 17:00, ficando uma lacuna de uma hora em que os mesmos ficariam desassistidos de atendimento.</w:t>
      </w:r>
    </w:p>
    <w:p w:rsidR="0033139D" w:rsidRPr="00E7583A" w:rsidRDefault="00565FDB" w:rsidP="0033139D">
      <w:pPr>
        <w:spacing w:line="240" w:lineRule="auto"/>
        <w:jc w:val="both"/>
        <w:rPr>
          <w:color w:val="000000" w:themeColor="text1"/>
        </w:rPr>
      </w:pPr>
      <w:r>
        <w:rPr>
          <w:color w:val="000000" w:themeColor="text1"/>
        </w:rPr>
        <w:tab/>
        <w:t>Considerando que</w:t>
      </w:r>
      <w:r w:rsidR="0033139D" w:rsidRPr="00E7583A">
        <w:rPr>
          <w:color w:val="000000" w:themeColor="text1"/>
        </w:rPr>
        <w:t xml:space="preserve"> os profissionais previstos no </w:t>
      </w:r>
      <w:r>
        <w:rPr>
          <w:color w:val="000000" w:themeColor="text1"/>
        </w:rPr>
        <w:t xml:space="preserve">serviço </w:t>
      </w:r>
      <w:r w:rsidR="0033139D" w:rsidRPr="00E7583A">
        <w:rPr>
          <w:color w:val="000000" w:themeColor="text1"/>
        </w:rPr>
        <w:t>trabalharão 44 horas semanais, e se o projeto fosse administrado com professores, esses trabalhariam somente 4:30 de hora</w:t>
      </w:r>
      <w:r>
        <w:rPr>
          <w:color w:val="000000" w:themeColor="text1"/>
        </w:rPr>
        <w:t>-</w:t>
      </w:r>
      <w:r w:rsidR="0033139D" w:rsidRPr="00E7583A">
        <w:rPr>
          <w:color w:val="000000" w:themeColor="text1"/>
        </w:rPr>
        <w:t>aula com aluno no dia, e diante disso, precisaríamos até contratar mais profissionais para atender</w:t>
      </w:r>
      <w:r w:rsidR="00784014">
        <w:rPr>
          <w:color w:val="000000" w:themeColor="text1"/>
        </w:rPr>
        <w:t xml:space="preserve"> a mesma quantidade de alunos </w:t>
      </w:r>
      <w:r w:rsidR="0033139D" w:rsidRPr="00E7583A">
        <w:rPr>
          <w:color w:val="000000" w:themeColor="text1"/>
        </w:rPr>
        <w:t>para não ficarem desassistidos em alguns horários do dia.</w:t>
      </w:r>
    </w:p>
    <w:p w:rsidR="0033139D" w:rsidRDefault="00565FDB" w:rsidP="0033139D">
      <w:pPr>
        <w:spacing w:line="240" w:lineRule="auto"/>
        <w:jc w:val="both"/>
        <w:rPr>
          <w:color w:val="000000" w:themeColor="text1"/>
        </w:rPr>
      </w:pPr>
      <w:r>
        <w:rPr>
          <w:color w:val="000000" w:themeColor="text1"/>
        </w:rPr>
        <w:tab/>
      </w:r>
      <w:r w:rsidR="0033139D" w:rsidRPr="00565FDB">
        <w:rPr>
          <w:b/>
          <w:color w:val="000000" w:themeColor="text1"/>
          <w:u w:val="single"/>
        </w:rPr>
        <w:t xml:space="preserve">Com isso, é imprescindível </w:t>
      </w:r>
      <w:r>
        <w:rPr>
          <w:b/>
          <w:color w:val="000000" w:themeColor="text1"/>
          <w:u w:val="single"/>
        </w:rPr>
        <w:t>a abertura de processo licitatório para execução e operacionalização do programa.</w:t>
      </w:r>
    </w:p>
    <w:p w:rsidR="00565FDB" w:rsidRPr="00E7583A" w:rsidRDefault="00565FDB" w:rsidP="0033139D">
      <w:pPr>
        <w:spacing w:line="240" w:lineRule="auto"/>
        <w:jc w:val="both"/>
        <w:rPr>
          <w:color w:val="000000" w:themeColor="text1"/>
        </w:rPr>
      </w:pPr>
      <w:r>
        <w:rPr>
          <w:color w:val="000000" w:themeColor="text1"/>
        </w:rPr>
        <w:tab/>
      </w:r>
      <w:r w:rsidR="0033139D" w:rsidRPr="00E7583A">
        <w:rPr>
          <w:color w:val="000000" w:themeColor="text1"/>
        </w:rPr>
        <w:t>O valor previsto ainda se mostra mais vantajoso que a abertura de concurso público para tal prestação. Expomos ainda que a contratação de servidores para a execução dos serviços elevaria, este custo ao longo do tempo (aumento real), considerando as vantagens próprias do serviço público, como adicionais por tempo de serviç</w:t>
      </w:r>
      <w:r>
        <w:rPr>
          <w:color w:val="000000" w:themeColor="text1"/>
        </w:rPr>
        <w:t>o, cheque férias, entre outros.</w:t>
      </w:r>
    </w:p>
    <w:p w:rsidR="0033139D" w:rsidRPr="00E7583A" w:rsidRDefault="00565FDB" w:rsidP="0033139D">
      <w:pPr>
        <w:spacing w:line="240" w:lineRule="auto"/>
        <w:jc w:val="both"/>
        <w:rPr>
          <w:color w:val="000000" w:themeColor="text1"/>
        </w:rPr>
      </w:pPr>
      <w:r>
        <w:rPr>
          <w:color w:val="000000" w:themeColor="text1"/>
        </w:rPr>
        <w:tab/>
      </w:r>
      <w:r w:rsidR="0033139D" w:rsidRPr="00E7583A">
        <w:rPr>
          <w:color w:val="000000" w:themeColor="text1"/>
        </w:rPr>
        <w:t>Alguns monitores adotarão o horário de almoço diferenciado para atender ao período das 11:00</w:t>
      </w:r>
      <w:r>
        <w:rPr>
          <w:color w:val="000000" w:themeColor="text1"/>
        </w:rPr>
        <w:t xml:space="preserve"> horas </w:t>
      </w:r>
      <w:r w:rsidR="0033139D" w:rsidRPr="00E7583A">
        <w:rPr>
          <w:color w:val="000000" w:themeColor="text1"/>
        </w:rPr>
        <w:t>às 13:00</w:t>
      </w:r>
      <w:r>
        <w:rPr>
          <w:color w:val="000000" w:themeColor="text1"/>
        </w:rPr>
        <w:t xml:space="preserve"> horas</w:t>
      </w:r>
      <w:r w:rsidR="0033139D" w:rsidRPr="00E7583A">
        <w:rPr>
          <w:color w:val="000000" w:themeColor="text1"/>
        </w:rPr>
        <w:t>, que é muito movimentado nas escolas (saída da manhã, almoço dos alunos do projeto e entrada da tarde). O que é de suma importância dentro das unidades escolares.</w:t>
      </w:r>
    </w:p>
    <w:p w:rsidR="0033139D" w:rsidRPr="00E7583A" w:rsidRDefault="00565FDB" w:rsidP="0033139D">
      <w:pPr>
        <w:spacing w:line="240" w:lineRule="auto"/>
        <w:jc w:val="both"/>
        <w:rPr>
          <w:color w:val="000000" w:themeColor="text1"/>
        </w:rPr>
      </w:pPr>
      <w:r>
        <w:rPr>
          <w:color w:val="000000" w:themeColor="text1"/>
        </w:rPr>
        <w:tab/>
      </w:r>
      <w:r w:rsidR="0033139D" w:rsidRPr="00E7583A">
        <w:rPr>
          <w:color w:val="000000" w:themeColor="text1"/>
        </w:rPr>
        <w:t>O envolvimento em atividades diversas e a criação de um ambiente mais acolhedor podem ajudar a manter os alunos interessados e comprometidos com a escola, reduzindo a evasão escolar.</w:t>
      </w:r>
    </w:p>
    <w:p w:rsidR="0033139D" w:rsidRDefault="00565FDB" w:rsidP="0033139D">
      <w:pPr>
        <w:spacing w:line="240" w:lineRule="auto"/>
        <w:jc w:val="both"/>
        <w:rPr>
          <w:color w:val="000000" w:themeColor="text1"/>
        </w:rPr>
      </w:pPr>
      <w:r>
        <w:rPr>
          <w:color w:val="000000" w:themeColor="text1"/>
        </w:rPr>
        <w:tab/>
      </w:r>
      <w:r w:rsidR="0033139D" w:rsidRPr="00E7583A">
        <w:rPr>
          <w:color w:val="000000" w:themeColor="text1"/>
        </w:rPr>
        <w:t>Com uma carga horária estendida, os alunos têm mais tempo para aprofundar conteúdo, participar de atividades práticas e realizar projetos, o que pode melhorar a compreensão e a retenção do conhecimento.</w:t>
      </w:r>
    </w:p>
    <w:p w:rsidR="00AA4384" w:rsidRPr="00E7583A" w:rsidRDefault="00AA4384" w:rsidP="0033139D">
      <w:pPr>
        <w:spacing w:line="240" w:lineRule="auto"/>
        <w:jc w:val="both"/>
        <w:rPr>
          <w:color w:val="000000" w:themeColor="text1"/>
        </w:rPr>
      </w:pPr>
      <w:r>
        <w:rPr>
          <w:color w:val="000000" w:themeColor="text1"/>
        </w:rPr>
        <w:tab/>
      </w:r>
      <w:r w:rsidRPr="00AA4384">
        <w:rPr>
          <w:color w:val="000000" w:themeColor="text1"/>
        </w:rPr>
        <w:t xml:space="preserve">A </w:t>
      </w:r>
      <w:r w:rsidR="00210495">
        <w:rPr>
          <w:color w:val="000000" w:themeColor="text1"/>
        </w:rPr>
        <w:t>celebração de parceria com entidades</w:t>
      </w:r>
      <w:r w:rsidRPr="00AA4384">
        <w:rPr>
          <w:color w:val="000000" w:themeColor="text1"/>
        </w:rPr>
        <w:t xml:space="preserve"> permite, ainda, monitoramento dos resultados e cumprimento de metas, com possibilidade de rescisão contratual em caso de não atendimento aos padrões de desemp</w:t>
      </w:r>
      <w:r w:rsidR="00210495">
        <w:rPr>
          <w:color w:val="000000" w:themeColor="text1"/>
        </w:rPr>
        <w:t>enho previamente estabelecidos.</w:t>
      </w:r>
    </w:p>
    <w:p w:rsidR="0033139D" w:rsidRPr="00E7583A" w:rsidRDefault="00565FDB" w:rsidP="0033139D">
      <w:pPr>
        <w:spacing w:line="240" w:lineRule="auto"/>
        <w:jc w:val="both"/>
        <w:rPr>
          <w:color w:val="000000" w:themeColor="text1"/>
        </w:rPr>
      </w:pPr>
      <w:r>
        <w:rPr>
          <w:color w:val="000000" w:themeColor="text1"/>
        </w:rPr>
        <w:tab/>
        <w:t xml:space="preserve">Sendo assim, </w:t>
      </w:r>
      <w:r w:rsidR="00210495">
        <w:rPr>
          <w:color w:val="000000" w:themeColor="text1"/>
        </w:rPr>
        <w:t xml:space="preserve">a celebração de parceria </w:t>
      </w:r>
      <w:r w:rsidR="0033139D" w:rsidRPr="00E7583A">
        <w:rPr>
          <w:color w:val="000000" w:themeColor="text1"/>
        </w:rPr>
        <w:t>s</w:t>
      </w:r>
      <w:r>
        <w:rPr>
          <w:color w:val="000000" w:themeColor="text1"/>
        </w:rPr>
        <w:t xml:space="preserve">e demonstra necessária </w:t>
      </w:r>
      <w:r w:rsidR="0033139D" w:rsidRPr="00E7583A">
        <w:rPr>
          <w:color w:val="000000" w:themeColor="text1"/>
        </w:rPr>
        <w:t>visando atender o</w:t>
      </w:r>
      <w:r>
        <w:rPr>
          <w:color w:val="000000" w:themeColor="text1"/>
        </w:rPr>
        <w:t xml:space="preserve"> atendimento do tempo integral nas unidades escolares da rede municipal de ensino, </w:t>
      </w:r>
      <w:r w:rsidR="0033139D" w:rsidRPr="00E7583A">
        <w:rPr>
          <w:color w:val="000000" w:themeColor="text1"/>
        </w:rPr>
        <w:t xml:space="preserve">considerando </w:t>
      </w:r>
      <w:r>
        <w:rPr>
          <w:color w:val="000000" w:themeColor="text1"/>
        </w:rPr>
        <w:t>oficinas</w:t>
      </w:r>
      <w:r w:rsidR="0033139D" w:rsidRPr="00E7583A">
        <w:rPr>
          <w:color w:val="000000" w:themeColor="text1"/>
        </w:rPr>
        <w:t xml:space="preserve"> alinhadas à </w:t>
      </w:r>
      <w:r>
        <w:rPr>
          <w:color w:val="000000" w:themeColor="text1"/>
        </w:rPr>
        <w:t xml:space="preserve">Base Nacional Comum Curricular </w:t>
      </w:r>
      <w:r w:rsidR="0033139D" w:rsidRPr="00E7583A">
        <w:rPr>
          <w:color w:val="000000" w:themeColor="text1"/>
        </w:rPr>
        <w:t>e a priorização das escolas que atendam estudantes em situação de maior vulnerabilidade socioeconômica.</w:t>
      </w:r>
    </w:p>
    <w:p w:rsidR="0033139D" w:rsidRDefault="00565FDB" w:rsidP="0033139D">
      <w:pPr>
        <w:spacing w:line="240" w:lineRule="auto"/>
        <w:jc w:val="both"/>
        <w:rPr>
          <w:color w:val="000000" w:themeColor="text1"/>
        </w:rPr>
      </w:pPr>
      <w:r>
        <w:rPr>
          <w:color w:val="000000" w:themeColor="text1"/>
        </w:rPr>
        <w:tab/>
      </w:r>
      <w:r w:rsidR="0033139D" w:rsidRPr="00E7583A">
        <w:rPr>
          <w:color w:val="000000" w:themeColor="text1"/>
        </w:rPr>
        <w:t xml:space="preserve">Em suma, a </w:t>
      </w:r>
      <w:r w:rsidR="00210495">
        <w:rPr>
          <w:color w:val="000000" w:themeColor="text1"/>
        </w:rPr>
        <w:t xml:space="preserve">parceria via chamamento público </w:t>
      </w:r>
      <w:r w:rsidR="0033139D" w:rsidRPr="00E7583A">
        <w:rPr>
          <w:color w:val="000000" w:themeColor="text1"/>
        </w:rPr>
        <w:t>não só promove uma gestão eficiente e econômica, como também enriquece a qualidade do ensino e a experiência dos alunos, garantindo que o direito à educação integr</w:t>
      </w:r>
      <w:r w:rsidR="008E0191">
        <w:rPr>
          <w:color w:val="000000" w:themeColor="text1"/>
        </w:rPr>
        <w:t>al seja efetivamente assegurado</w:t>
      </w:r>
      <w:r w:rsidR="0033139D" w:rsidRPr="00E7583A">
        <w:rPr>
          <w:color w:val="000000" w:themeColor="text1"/>
        </w:rPr>
        <w:t>.</w:t>
      </w:r>
    </w:p>
    <w:p w:rsidR="0033139D" w:rsidRPr="002C6B6B" w:rsidRDefault="008E0191" w:rsidP="0033139D">
      <w:pPr>
        <w:spacing w:line="240" w:lineRule="auto"/>
        <w:jc w:val="both"/>
        <w:rPr>
          <w:b/>
          <w:color w:val="000000" w:themeColor="text1"/>
          <w:u w:val="single"/>
        </w:rPr>
      </w:pPr>
      <w:r w:rsidRPr="002C6B6B">
        <w:rPr>
          <w:b/>
          <w:color w:val="000000" w:themeColor="text1"/>
        </w:rPr>
        <w:tab/>
      </w:r>
      <w:r w:rsidR="002C6B6B" w:rsidRPr="002C6B6B">
        <w:rPr>
          <w:b/>
          <w:color w:val="000000" w:themeColor="text1"/>
          <w:u w:val="single"/>
        </w:rPr>
        <w:t>2. JUSTIFICATIVA DA QUANTIDADE PREVISTA DE MÃO DE OBRA</w:t>
      </w:r>
    </w:p>
    <w:p w:rsidR="002C6B6B" w:rsidRPr="002C6B6B" w:rsidRDefault="002C6B6B" w:rsidP="002C6B6B">
      <w:pPr>
        <w:spacing w:line="240" w:lineRule="auto"/>
        <w:jc w:val="both"/>
        <w:rPr>
          <w:color w:val="000000" w:themeColor="text1"/>
        </w:rPr>
      </w:pPr>
      <w:r>
        <w:rPr>
          <w:color w:val="000000" w:themeColor="text1"/>
        </w:rPr>
        <w:tab/>
      </w:r>
      <w:r w:rsidRPr="002C6B6B">
        <w:rPr>
          <w:color w:val="000000" w:themeColor="text1"/>
        </w:rPr>
        <w:t>Considerando a operacionalização do Prog</w:t>
      </w:r>
      <w:r w:rsidR="00A1256D">
        <w:rPr>
          <w:color w:val="000000" w:themeColor="text1"/>
        </w:rPr>
        <w:t>rama “São João Mais Saber” em 25</w:t>
      </w:r>
      <w:r w:rsidRPr="002C6B6B">
        <w:rPr>
          <w:color w:val="000000" w:themeColor="text1"/>
        </w:rPr>
        <w:t xml:space="preserve"> das 35 unidades escolares da Rede Municipal de Ensino, faz-se necessária a previsão de quantidade adequada de </w:t>
      </w:r>
      <w:r w:rsidRPr="002C6B6B">
        <w:rPr>
          <w:color w:val="000000" w:themeColor="text1"/>
        </w:rPr>
        <w:lastRenderedPageBreak/>
        <w:t>monitores para atendimento às demandas do contraturno escolar, com atuação em salas específicas para oficinas temáticas e em demais espaços escolares</w:t>
      </w:r>
      <w:r w:rsidR="004B0062">
        <w:rPr>
          <w:color w:val="000000" w:themeColor="text1"/>
        </w:rPr>
        <w:t>, bem como na utilização de espaços esportivos e culturais</w:t>
      </w:r>
      <w:r w:rsidRPr="002C6B6B">
        <w:rPr>
          <w:color w:val="000000" w:themeColor="text1"/>
        </w:rPr>
        <w:t xml:space="preserve"> adequ</w:t>
      </w:r>
      <w:r>
        <w:rPr>
          <w:color w:val="000000" w:themeColor="text1"/>
        </w:rPr>
        <w:t>ados à natureza das atividades.</w:t>
      </w:r>
    </w:p>
    <w:p w:rsidR="002C6B6B" w:rsidRPr="002C6B6B" w:rsidRDefault="002C6B6B" w:rsidP="002C6B6B">
      <w:pPr>
        <w:spacing w:line="240" w:lineRule="auto"/>
        <w:jc w:val="both"/>
        <w:rPr>
          <w:color w:val="000000" w:themeColor="text1"/>
        </w:rPr>
      </w:pPr>
      <w:r>
        <w:rPr>
          <w:color w:val="000000" w:themeColor="text1"/>
        </w:rPr>
        <w:tab/>
      </w:r>
      <w:r w:rsidRPr="002C6B6B">
        <w:rPr>
          <w:color w:val="000000" w:themeColor="text1"/>
        </w:rPr>
        <w:t xml:space="preserve">Os monitores atuarão não apenas nas salas destinadas às oficinas </w:t>
      </w:r>
      <w:r w:rsidR="00210495">
        <w:rPr>
          <w:color w:val="000000" w:themeColor="text1"/>
        </w:rPr>
        <w:t>educativas</w:t>
      </w:r>
      <w:r w:rsidRPr="002C6B6B">
        <w:rPr>
          <w:color w:val="000000" w:themeColor="text1"/>
        </w:rPr>
        <w:t>, mas também em ambientes como quadras esportivas, pátios, salas de leitura, salas de informática, entre outros, de forma a garantir a plena execução das atividades propostas e a diversidade das experiências educativas no âmbito do Programa. Além disso, sua atuação será fundamental no auxílio durante o horário de alimentação dos alunos, colaborando com a organização e o acompanhamento dos estudantes, especialmente nas f</w:t>
      </w:r>
      <w:r>
        <w:rPr>
          <w:color w:val="000000" w:themeColor="text1"/>
        </w:rPr>
        <w:t>aixas etárias mais vulneráveis.</w:t>
      </w:r>
    </w:p>
    <w:p w:rsidR="002C6B6B" w:rsidRPr="002C6B6B" w:rsidRDefault="002C6B6B" w:rsidP="002C6B6B">
      <w:pPr>
        <w:spacing w:line="240" w:lineRule="auto"/>
        <w:jc w:val="both"/>
        <w:rPr>
          <w:color w:val="000000" w:themeColor="text1"/>
        </w:rPr>
      </w:pPr>
      <w:r>
        <w:rPr>
          <w:color w:val="000000" w:themeColor="text1"/>
        </w:rPr>
        <w:tab/>
      </w:r>
      <w:r w:rsidRPr="002C6B6B">
        <w:rPr>
          <w:color w:val="000000" w:themeColor="text1"/>
        </w:rPr>
        <w:t>A previsão também contempla a cobertura dos horários de almoço nas unidades escolares — faixa crítica de atendimento, em que não há expediente regular de aulas e os alunos permanecem nas escolas. Para tanto, será necessário garantir a presença de monit</w:t>
      </w:r>
      <w:r>
        <w:rPr>
          <w:color w:val="000000" w:themeColor="text1"/>
        </w:rPr>
        <w:t>ores, nos seguintes intervalos:</w:t>
      </w:r>
    </w:p>
    <w:p w:rsidR="002C6B6B" w:rsidRPr="002C6B6B" w:rsidRDefault="002C6B6B" w:rsidP="002C6B6B">
      <w:pPr>
        <w:pStyle w:val="PargrafodaLista"/>
        <w:numPr>
          <w:ilvl w:val="0"/>
          <w:numId w:val="1"/>
        </w:numPr>
        <w:spacing w:line="240" w:lineRule="auto"/>
        <w:jc w:val="both"/>
        <w:rPr>
          <w:color w:val="000000" w:themeColor="text1"/>
        </w:rPr>
      </w:pPr>
      <w:r w:rsidRPr="002C6B6B">
        <w:rPr>
          <w:color w:val="000000" w:themeColor="text1"/>
        </w:rPr>
        <w:t>Educação Infantil: das 11h às 13h;</w:t>
      </w:r>
    </w:p>
    <w:p w:rsidR="002C6B6B" w:rsidRPr="002C6B6B" w:rsidRDefault="002C6B6B" w:rsidP="002C6B6B">
      <w:pPr>
        <w:pStyle w:val="PargrafodaLista"/>
        <w:numPr>
          <w:ilvl w:val="0"/>
          <w:numId w:val="1"/>
        </w:numPr>
        <w:spacing w:line="240" w:lineRule="auto"/>
        <w:jc w:val="both"/>
        <w:rPr>
          <w:color w:val="000000" w:themeColor="text1"/>
        </w:rPr>
      </w:pPr>
      <w:r w:rsidRPr="002C6B6B">
        <w:rPr>
          <w:color w:val="000000" w:themeColor="text1"/>
        </w:rPr>
        <w:t>Ensino Fundamental: das 11h30 às 12h30.</w:t>
      </w:r>
    </w:p>
    <w:p w:rsidR="002C6B6B" w:rsidRPr="002C6B6B" w:rsidRDefault="002C6B6B" w:rsidP="002C6B6B">
      <w:pPr>
        <w:spacing w:line="240" w:lineRule="auto"/>
        <w:jc w:val="both"/>
        <w:rPr>
          <w:color w:val="000000" w:themeColor="text1"/>
        </w:rPr>
      </w:pPr>
      <w:r>
        <w:rPr>
          <w:color w:val="000000" w:themeColor="text1"/>
        </w:rPr>
        <w:tab/>
      </w:r>
      <w:r w:rsidRPr="002C6B6B">
        <w:rPr>
          <w:color w:val="000000" w:themeColor="text1"/>
        </w:rPr>
        <w:t>Ressalta-se, ainda, que parte dos monitores terá atuação específica em oficinas diferenciadas, como fanfarra, xadrez, dança e música, as quais exigem acompanhamento técnico e disciplinar contínuo, além de planejamento e execução orientados por profissionai</w:t>
      </w:r>
      <w:r>
        <w:rPr>
          <w:color w:val="000000" w:themeColor="text1"/>
        </w:rPr>
        <w:t>s capacitados.</w:t>
      </w:r>
    </w:p>
    <w:p w:rsidR="002C6B6B" w:rsidRPr="002C6B6B" w:rsidRDefault="002C6B6B" w:rsidP="002C6B6B">
      <w:pPr>
        <w:spacing w:line="240" w:lineRule="auto"/>
        <w:jc w:val="both"/>
        <w:rPr>
          <w:color w:val="000000" w:themeColor="text1"/>
        </w:rPr>
      </w:pPr>
      <w:r>
        <w:rPr>
          <w:color w:val="000000" w:themeColor="text1"/>
        </w:rPr>
        <w:tab/>
      </w:r>
      <w:r w:rsidRPr="002C6B6B">
        <w:rPr>
          <w:color w:val="000000" w:themeColor="text1"/>
        </w:rPr>
        <w:t>Adicionalmente, a presença dos monitores será essencial para o acompanhamento individualizado de alunos com deficiência durante as oficinas e atividades, garantindo a inclusão, segurança e efetiva participação desses estudantes no contraturno escolar, em consonância com as di</w:t>
      </w:r>
      <w:r>
        <w:rPr>
          <w:color w:val="000000" w:themeColor="text1"/>
        </w:rPr>
        <w:t>retrizes da educação inclusiva.</w:t>
      </w:r>
    </w:p>
    <w:p w:rsidR="002C6B6B" w:rsidRPr="002C6B6B" w:rsidRDefault="002C6B6B" w:rsidP="002C6B6B">
      <w:pPr>
        <w:spacing w:line="240" w:lineRule="auto"/>
        <w:jc w:val="both"/>
        <w:rPr>
          <w:color w:val="000000" w:themeColor="text1"/>
        </w:rPr>
      </w:pPr>
      <w:r>
        <w:rPr>
          <w:color w:val="000000" w:themeColor="text1"/>
        </w:rPr>
        <w:tab/>
      </w:r>
      <w:r w:rsidRPr="002C6B6B">
        <w:rPr>
          <w:color w:val="000000" w:themeColor="text1"/>
        </w:rPr>
        <w:t xml:space="preserve">Por fim, para assegurar a continuidade do atendimento em casos de ausências esporádicas, estão previstos três monitores folguistas, os quais poderão ser mobilizados para cobrir faltas ou afastamentos temporários não supridos pela empresa contratada, evitando interrupções no funcionamento do programa e assegurando </w:t>
      </w:r>
      <w:r>
        <w:rPr>
          <w:color w:val="000000" w:themeColor="text1"/>
        </w:rPr>
        <w:t>o pleno atendimento aos alunos.</w:t>
      </w:r>
    </w:p>
    <w:p w:rsidR="00AA4384" w:rsidRDefault="002C6B6B" w:rsidP="002C6B6B">
      <w:pPr>
        <w:spacing w:line="240" w:lineRule="auto"/>
        <w:jc w:val="both"/>
        <w:rPr>
          <w:color w:val="000000" w:themeColor="text1"/>
        </w:rPr>
      </w:pPr>
      <w:r>
        <w:rPr>
          <w:color w:val="000000" w:themeColor="text1"/>
        </w:rPr>
        <w:tab/>
      </w:r>
      <w:r w:rsidRPr="002C6B6B">
        <w:rPr>
          <w:color w:val="000000" w:themeColor="text1"/>
        </w:rPr>
        <w:t>Dessa forma, a quantidade de monitores estimada é proporcional à complexidade e ao porte da operação, ao número de unidades atendidas, à diversidade de atividades desenvolvidas, ao perfil do público-alvo e à exigência de atendimento contínuo durante todo o período de permanência dos alunos nas escolas, garantindo o pleno funcionamento e a qualidade do Programa “São João Mais Saber”.</w:t>
      </w:r>
    </w:p>
    <w:p w:rsidR="00AA4384" w:rsidRPr="00AA4384" w:rsidRDefault="00AA4384" w:rsidP="002C6B6B">
      <w:pPr>
        <w:spacing w:line="240" w:lineRule="auto"/>
        <w:jc w:val="both"/>
        <w:rPr>
          <w:b/>
          <w:color w:val="000000" w:themeColor="text1"/>
          <w:u w:val="single"/>
        </w:rPr>
      </w:pPr>
      <w:r>
        <w:rPr>
          <w:color w:val="000000" w:themeColor="text1"/>
        </w:rPr>
        <w:tab/>
      </w:r>
      <w:r w:rsidRPr="00AA4384">
        <w:rPr>
          <w:b/>
          <w:color w:val="000000" w:themeColor="text1"/>
          <w:u w:val="single"/>
        </w:rPr>
        <w:t>4. DO PRAZO</w:t>
      </w:r>
    </w:p>
    <w:p w:rsidR="00210495" w:rsidRDefault="00AA4384" w:rsidP="00210495">
      <w:pPr>
        <w:spacing w:after="0" w:line="240" w:lineRule="auto"/>
        <w:jc w:val="both"/>
        <w:rPr>
          <w:rFonts w:cstheme="minorHAnsi"/>
        </w:rPr>
      </w:pPr>
      <w:r>
        <w:rPr>
          <w:color w:val="000000" w:themeColor="text1"/>
        </w:rPr>
        <w:tab/>
      </w:r>
      <w:r w:rsidR="00210495" w:rsidRPr="00D40327">
        <w:rPr>
          <w:rFonts w:cstheme="minorHAnsi"/>
        </w:rPr>
        <w:t>O Termo de Colaboração terá vigência de 12 (doze) meses, a partir da assinatura da parceria, para os que</w:t>
      </w:r>
      <w:r w:rsidR="00210495">
        <w:rPr>
          <w:rFonts w:cstheme="minorHAnsi"/>
        </w:rPr>
        <w:t xml:space="preserve"> </w:t>
      </w:r>
      <w:r w:rsidR="00210495" w:rsidRPr="00D40327">
        <w:rPr>
          <w:rFonts w:cstheme="minorHAnsi"/>
        </w:rPr>
        <w:t>cumprirem as obrigações pactuadas em conformidades com as determinações legais e administrativas em vigor,</w:t>
      </w:r>
      <w:r w:rsidR="00210495">
        <w:rPr>
          <w:rFonts w:cstheme="minorHAnsi"/>
        </w:rPr>
        <w:t xml:space="preserve"> </w:t>
      </w:r>
      <w:r w:rsidR="00210495" w:rsidRPr="00D40327">
        <w:rPr>
          <w:rFonts w:cstheme="minorHAnsi"/>
        </w:rPr>
        <w:t>podendo ser prorrogado por períodos de 12 (doze) meses sucessivamente, até que se atinja o máximo de 60 (sessenta)</w:t>
      </w:r>
      <w:r w:rsidR="00210495">
        <w:rPr>
          <w:rFonts w:cstheme="minorHAnsi"/>
        </w:rPr>
        <w:t xml:space="preserve"> </w:t>
      </w:r>
      <w:r w:rsidR="00210495" w:rsidRPr="00D40327">
        <w:rPr>
          <w:rFonts w:cstheme="minorHAnsi"/>
        </w:rPr>
        <w:t>meses, conforme necessidade do Departamento de Educação</w:t>
      </w:r>
      <w:r w:rsidR="00210495">
        <w:rPr>
          <w:rFonts w:cstheme="minorHAnsi"/>
        </w:rPr>
        <w:t>.</w:t>
      </w:r>
    </w:p>
    <w:p w:rsidR="00210495" w:rsidRDefault="00210495" w:rsidP="00210495">
      <w:pPr>
        <w:spacing w:line="240" w:lineRule="auto"/>
        <w:jc w:val="both"/>
        <w:rPr>
          <w:b/>
          <w:color w:val="000000" w:themeColor="text1"/>
        </w:rPr>
      </w:pPr>
    </w:p>
    <w:p w:rsidR="00AA4384" w:rsidRPr="00AA4384" w:rsidRDefault="00AA4384" w:rsidP="00210495">
      <w:pPr>
        <w:spacing w:line="240" w:lineRule="auto"/>
        <w:jc w:val="both"/>
        <w:rPr>
          <w:b/>
          <w:color w:val="000000" w:themeColor="text1"/>
          <w:u w:val="single"/>
        </w:rPr>
      </w:pPr>
      <w:r w:rsidRPr="00AA4384">
        <w:rPr>
          <w:b/>
          <w:color w:val="000000" w:themeColor="text1"/>
        </w:rPr>
        <w:tab/>
      </w:r>
      <w:r w:rsidRPr="00AA4384">
        <w:rPr>
          <w:b/>
          <w:color w:val="000000" w:themeColor="text1"/>
          <w:u w:val="single"/>
        </w:rPr>
        <w:t>5. DAS DISPOSIÇÕES GERAIS.</w:t>
      </w:r>
    </w:p>
    <w:p w:rsidR="00EC7307" w:rsidRPr="00EC7307" w:rsidRDefault="00AA4384" w:rsidP="00EC7307">
      <w:pPr>
        <w:spacing w:line="240" w:lineRule="auto"/>
        <w:jc w:val="both"/>
        <w:rPr>
          <w:color w:val="000000" w:themeColor="text1"/>
        </w:rPr>
      </w:pPr>
      <w:r>
        <w:rPr>
          <w:color w:val="000000" w:themeColor="text1"/>
        </w:rPr>
        <w:tab/>
      </w:r>
      <w:r w:rsidR="00B57080">
        <w:rPr>
          <w:color w:val="000000" w:themeColor="text1"/>
        </w:rPr>
        <w:t>E</w:t>
      </w:r>
      <w:r w:rsidR="00EC7307" w:rsidRPr="00EC7307">
        <w:rPr>
          <w:color w:val="000000" w:themeColor="text1"/>
        </w:rPr>
        <w:t xml:space="preserve">sclarece-se que tais serviços não se confundem com atribuições exclusivas ou específicas dos servidores públicos municipais do Departamento Municipal de Educação, não havendo previsão expressa no Plano de Cargos, Carreiras e Vencimentos para que tais atividades sejam desempenhadas por </w:t>
      </w:r>
      <w:r w:rsidR="00EC7307" w:rsidRPr="00EC7307">
        <w:rPr>
          <w:color w:val="000000" w:themeColor="text1"/>
        </w:rPr>
        <w:lastRenderedPageBreak/>
        <w:t xml:space="preserve">servidores efetivos da rede municipal. Ademais, as funções dos </w:t>
      </w:r>
      <w:r w:rsidR="00EC7307">
        <w:rPr>
          <w:color w:val="000000" w:themeColor="text1"/>
        </w:rPr>
        <w:t xml:space="preserve">monitores de oficina </w:t>
      </w:r>
      <w:r w:rsidR="00EC7307" w:rsidRPr="00EC7307">
        <w:rPr>
          <w:color w:val="000000" w:themeColor="text1"/>
        </w:rPr>
        <w:t>não envolvem exercício de atividades típicas de magistério ou suporte pedagógico, tampouco se caracterizam por vínculo de subord</w:t>
      </w:r>
      <w:r w:rsidR="00B57080">
        <w:rPr>
          <w:color w:val="000000" w:themeColor="text1"/>
        </w:rPr>
        <w:t>inação direta ao Poder Público.</w:t>
      </w:r>
    </w:p>
    <w:p w:rsidR="003866A2" w:rsidRDefault="00EC7307" w:rsidP="003866A2">
      <w:pPr>
        <w:spacing w:line="240" w:lineRule="auto"/>
        <w:jc w:val="both"/>
        <w:rPr>
          <w:color w:val="000000" w:themeColor="text1"/>
        </w:rPr>
      </w:pPr>
      <w:r w:rsidRPr="00EC7307">
        <w:rPr>
          <w:color w:val="000000" w:themeColor="text1"/>
        </w:rPr>
        <w:tab/>
        <w:t xml:space="preserve">Dessa forma, não há pessoalidade nem subordinação jurídica direta entre os profissionais </w:t>
      </w:r>
      <w:r>
        <w:rPr>
          <w:color w:val="000000" w:themeColor="text1"/>
        </w:rPr>
        <w:t xml:space="preserve">contratados neste instrumento </w:t>
      </w:r>
      <w:r w:rsidR="00B57080">
        <w:rPr>
          <w:color w:val="000000" w:themeColor="text1"/>
        </w:rPr>
        <w:t>e o ente público.</w:t>
      </w:r>
    </w:p>
    <w:p w:rsidR="003866A2" w:rsidRPr="00E25584" w:rsidRDefault="003866A2" w:rsidP="00E25584">
      <w:pPr>
        <w:spacing w:line="240" w:lineRule="auto"/>
        <w:jc w:val="both"/>
        <w:rPr>
          <w:color w:val="000000" w:themeColor="text1"/>
        </w:rPr>
      </w:pPr>
      <w:r w:rsidRPr="003866A2">
        <w:rPr>
          <w:rFonts w:cs="Calibri"/>
          <w:b/>
        </w:rPr>
        <w:tab/>
      </w:r>
      <w:r w:rsidR="00DD52E7" w:rsidRPr="00DD52E7">
        <w:rPr>
          <w:rFonts w:cs="Calibri"/>
          <w:b/>
          <w:u w:val="single"/>
        </w:rPr>
        <w:t>6. JUSTIFICATIVA DOS CRITÉRIOS DE PONTUAÇÃO E DAS DOCUMENTAÇÕES EXIGIDAS PARA HABILITAÇÃO DA OSC.</w:t>
      </w:r>
    </w:p>
    <w:p w:rsidR="003866A2" w:rsidRPr="003866A2" w:rsidRDefault="003866A2" w:rsidP="003866A2">
      <w:pPr>
        <w:suppressAutoHyphens/>
        <w:spacing w:before="120" w:after="120" w:line="240" w:lineRule="auto"/>
        <w:ind w:left="142" w:hanging="142"/>
        <w:jc w:val="both"/>
        <w:rPr>
          <w:rFonts w:cs="Calibri"/>
          <w:b/>
        </w:rPr>
      </w:pPr>
      <w:r w:rsidRPr="003866A2">
        <w:rPr>
          <w:b/>
          <w:color w:val="000000" w:themeColor="text1"/>
        </w:rPr>
        <w:t>PROPOSTA TÉCNICA</w:t>
      </w:r>
    </w:p>
    <w:tbl>
      <w:tblPr>
        <w:tblStyle w:val="Tabelacomgrade"/>
        <w:tblW w:w="0" w:type="auto"/>
        <w:tblLook w:val="04A0" w:firstRow="1" w:lastRow="0" w:firstColumn="1" w:lastColumn="0" w:noHBand="0" w:noVBand="1"/>
      </w:tblPr>
      <w:tblGrid>
        <w:gridCol w:w="1904"/>
        <w:gridCol w:w="1737"/>
        <w:gridCol w:w="1670"/>
        <w:gridCol w:w="1158"/>
        <w:gridCol w:w="2875"/>
      </w:tblGrid>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Requisitos</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Análise para pontuação</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Critério de Julgamento</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Pontuação Máxima</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Justificativa</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Descrição da realidade do objeto da parceria</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Diagnóstico apresentado pela OSC (público-alvo, objetivos, vagas e impacto social).</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Apresenta informações verídicas com base em fontes confiáveis.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5</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Fundamenta-se no princípio da eficiência da gestão pública. O diagnóstico prévio contribui para a formulação de ações alinhadas à realidade local e à priorização de vulnerabilidades, conforme recomendado pelo TCESP.</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Oficinas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Metodologia clara e coerência com os eixos temáticos.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Atende aos critérios acumulativos conforme quadro descritivo.</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20</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 oferta diversificada de oficinas alinhadas aos eixos temáticos amplia o impacto pedagógico e sociocultural do programa. O detalhamento garante transparência e viabilidade do plano educacional.</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Adequação e Exequibilidade do Plano para o Cumprimento das metas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Alinhamento ao item 6 do Termo de Referência e às metas.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Apresenta planejamento detalhado e estratégias claras.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10</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Garante o cumprimento das metas previstas e evidencia capacidade técnica da OSC. Fundamenta-se no art. 33, V, da Lei nº 13.019/2014.</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Oferta de Contrapartida – Formação</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Oferta de capacitação adicional aos profissionais.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Plano detalhado de formação e impacto esperado.</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5</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Estimula a valorização e o aperfeiçoamento contínuo da equipe executora, assegurando melhoria dos serviços e respeito ao princípio da qualidade.</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Sustentabilidade</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Recursos próprios, imóveis e bens da OSC.</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Apresenta bens e infraestrutura compatíveis com a execução.</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8</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 sustentabilidade financeira e estrutural da OSC assegura a continuidade da parceria e evita dependência excessiva de recursos públicos, conforme orienta o TCESP.</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Certificados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 xml:space="preserve">Certificações no Conselho Municipal dos Direitos da </w:t>
            </w:r>
            <w:r w:rsidRPr="003866A2">
              <w:rPr>
                <w:rFonts w:asciiTheme="minorHAnsi" w:eastAsia="Times New Roman" w:hAnsiTheme="minorHAnsi" w:cstheme="minorHAnsi"/>
                <w:sz w:val="20"/>
                <w:szCs w:val="20"/>
                <w:lang w:eastAsia="pt-BR"/>
              </w:rPr>
              <w:lastRenderedPageBreak/>
              <w:t>Criança e do Adolescente.</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lastRenderedPageBreak/>
              <w:t>Possui registros nos Conselhos de Educação, Assistência e Saúde.</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12</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 xml:space="preserve">Certificações comprovam atuação consolidada da OSC e garantem segurança jurídica e institucional ao Poder Público, </w:t>
            </w:r>
            <w:r w:rsidRPr="003866A2">
              <w:rPr>
                <w:rFonts w:asciiTheme="minorHAnsi" w:eastAsia="Times New Roman" w:hAnsiTheme="minorHAnsi" w:cstheme="minorHAnsi"/>
                <w:sz w:val="20"/>
                <w:szCs w:val="20"/>
                <w:lang w:eastAsia="pt-BR"/>
              </w:rPr>
              <w:lastRenderedPageBreak/>
              <w:t>conforme art. 33, inciso III, da Lei nº 13.019/2014.</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lastRenderedPageBreak/>
              <w:t>Experiências Efetivas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Anos de experiência na execução de projetos semelhantes.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Pontuação por tempo comprovado de atuação.</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20</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A experiência prévia da OSC assegura maior confiabilidade, eficiência na execução e domínio técnico do serviço, nos termos do art. 33, V, "b" da Lei nº 13.019/2014.</w:t>
            </w:r>
          </w:p>
        </w:tc>
      </w:tr>
    </w:tbl>
    <w:p w:rsidR="003866A2" w:rsidRPr="003866A2" w:rsidRDefault="003866A2" w:rsidP="003866A2">
      <w:pPr>
        <w:spacing w:line="240" w:lineRule="auto"/>
        <w:rPr>
          <w:b/>
          <w:color w:val="000000" w:themeColor="text1"/>
          <w:sz w:val="20"/>
          <w:szCs w:val="20"/>
        </w:rPr>
      </w:pPr>
      <w:r w:rsidRPr="003866A2">
        <w:rPr>
          <w:b/>
          <w:color w:val="000000" w:themeColor="text1"/>
          <w:sz w:val="20"/>
          <w:szCs w:val="20"/>
        </w:rPr>
        <w:t>Pontuação máxima total da Proposta Técnica: 80 pontos</w:t>
      </w:r>
    </w:p>
    <w:p w:rsidR="00C56BC2" w:rsidRPr="003866A2" w:rsidRDefault="003866A2" w:rsidP="003866A2">
      <w:pPr>
        <w:spacing w:line="240" w:lineRule="auto"/>
        <w:jc w:val="both"/>
        <w:rPr>
          <w:b/>
          <w:color w:val="000000" w:themeColor="text1"/>
          <w:sz w:val="20"/>
          <w:szCs w:val="20"/>
        </w:rPr>
      </w:pPr>
      <w:r w:rsidRPr="003866A2">
        <w:rPr>
          <w:b/>
          <w:color w:val="000000" w:themeColor="text1"/>
          <w:sz w:val="20"/>
          <w:szCs w:val="20"/>
        </w:rPr>
        <w:t>PROPOSTA FINANCEIRA</w:t>
      </w:r>
    </w:p>
    <w:tbl>
      <w:tblPr>
        <w:tblStyle w:val="Tabelacomgrade"/>
        <w:tblW w:w="0" w:type="auto"/>
        <w:tblLook w:val="04A0" w:firstRow="1" w:lastRow="0" w:firstColumn="1" w:lastColumn="0" w:noHBand="0" w:noVBand="1"/>
      </w:tblPr>
      <w:tblGrid>
        <w:gridCol w:w="1365"/>
        <w:gridCol w:w="1943"/>
        <w:gridCol w:w="2011"/>
        <w:gridCol w:w="1172"/>
        <w:gridCol w:w="2853"/>
      </w:tblGrid>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Requisitos</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Critério de Julgamento</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Análise dos critérios para pontuação</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Pontuação Máxima</w:t>
            </w:r>
          </w:p>
        </w:tc>
        <w:tc>
          <w:tcPr>
            <w:tcW w:w="0" w:type="auto"/>
            <w:vAlign w:val="center"/>
            <w:hideMark/>
          </w:tcPr>
          <w:p w:rsidR="003866A2" w:rsidRPr="003866A2" w:rsidRDefault="003866A2" w:rsidP="003866A2">
            <w:pPr>
              <w:jc w:val="center"/>
              <w:rPr>
                <w:rFonts w:asciiTheme="minorHAnsi" w:eastAsia="Times New Roman" w:hAnsiTheme="minorHAnsi" w:cstheme="minorHAnsi"/>
                <w:b/>
                <w:bCs/>
                <w:sz w:val="20"/>
                <w:szCs w:val="20"/>
                <w:lang w:eastAsia="pt-BR"/>
              </w:rPr>
            </w:pPr>
            <w:r w:rsidRPr="003866A2">
              <w:rPr>
                <w:rFonts w:asciiTheme="minorHAnsi" w:eastAsia="Times New Roman" w:hAnsiTheme="minorHAnsi" w:cstheme="minorHAnsi"/>
                <w:b/>
                <w:bCs/>
                <w:sz w:val="20"/>
                <w:szCs w:val="20"/>
                <w:lang w:eastAsia="pt-BR"/>
              </w:rPr>
              <w:t>Justificativa</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Valor Global</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Compatibilidade entre plano, cronograma e composição de custos.</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Pontuação acumulativa conforme análise da compatibilidade com a execução.</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10</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Evita inconsistências entre planejamento e execução. O detalhamento orçamentário assegura o uso eficiente dos recursos públicos, como previsto no Manual do TCESP.</w:t>
            </w:r>
          </w:p>
        </w:tc>
      </w:tr>
      <w:tr w:rsidR="003866A2" w:rsidRPr="003866A2" w:rsidTr="003866A2">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Classificação do Valor Global</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 xml:space="preserve">Comparação entre propostas apresentadas pelas </w:t>
            </w:r>
            <w:proofErr w:type="spellStart"/>
            <w:r w:rsidRPr="003866A2">
              <w:rPr>
                <w:rFonts w:asciiTheme="minorHAnsi" w:eastAsia="Times New Roman" w:hAnsiTheme="minorHAnsi" w:cstheme="minorHAnsi"/>
                <w:sz w:val="20"/>
                <w:szCs w:val="20"/>
                <w:lang w:eastAsia="pt-BR"/>
              </w:rPr>
              <w:t>OSCs</w:t>
            </w:r>
            <w:proofErr w:type="spellEnd"/>
            <w:r w:rsidRPr="003866A2">
              <w:rPr>
                <w:rFonts w:asciiTheme="minorHAnsi" w:eastAsia="Times New Roman" w:hAnsiTheme="minorHAnsi" w:cstheme="minorHAnsi"/>
                <w:sz w:val="20"/>
                <w:szCs w:val="20"/>
                <w:lang w:eastAsia="pt-BR"/>
              </w:rPr>
              <w:t>.</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Menor valor de recurso público solicitado recebe maior pontuação.</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10</w:t>
            </w:r>
          </w:p>
        </w:tc>
        <w:tc>
          <w:tcPr>
            <w:tcW w:w="0" w:type="auto"/>
            <w:vAlign w:val="center"/>
            <w:hideMark/>
          </w:tcPr>
          <w:p w:rsidR="003866A2" w:rsidRPr="003866A2" w:rsidRDefault="003866A2" w:rsidP="003866A2">
            <w:pPr>
              <w:jc w:val="center"/>
              <w:rPr>
                <w:rFonts w:asciiTheme="minorHAnsi" w:eastAsia="Times New Roman" w:hAnsiTheme="minorHAnsi" w:cstheme="minorHAnsi"/>
                <w:sz w:val="20"/>
                <w:szCs w:val="20"/>
                <w:lang w:eastAsia="pt-BR"/>
              </w:rPr>
            </w:pPr>
            <w:r w:rsidRPr="003866A2">
              <w:rPr>
                <w:rFonts w:asciiTheme="minorHAnsi" w:eastAsia="Times New Roman" w:hAnsiTheme="minorHAnsi" w:cstheme="minorHAnsi"/>
                <w:sz w:val="20"/>
                <w:szCs w:val="20"/>
                <w:lang w:eastAsia="pt-BR"/>
              </w:rPr>
              <w:t>Favorece propostas mais vantajosas economicamente, respeitando o custo-efetividade, sem comprometer a qualidade dos serviços, conforme diretriz do TCESP.</w:t>
            </w:r>
          </w:p>
        </w:tc>
      </w:tr>
    </w:tbl>
    <w:p w:rsidR="003866A2" w:rsidRPr="003866A2" w:rsidRDefault="003866A2" w:rsidP="003866A2">
      <w:pPr>
        <w:rPr>
          <w:b/>
          <w:color w:val="000000" w:themeColor="text1"/>
        </w:rPr>
      </w:pPr>
      <w:r w:rsidRPr="003866A2">
        <w:rPr>
          <w:b/>
          <w:color w:val="000000" w:themeColor="text1"/>
        </w:rPr>
        <w:t>Pontuação máxima total da Proposta Financeira: 20 pontos</w:t>
      </w:r>
    </w:p>
    <w:p w:rsidR="003866A2" w:rsidRDefault="003866A2" w:rsidP="00AA4384">
      <w:pPr>
        <w:spacing w:line="240" w:lineRule="auto"/>
        <w:jc w:val="both"/>
        <w:rPr>
          <w:color w:val="000000" w:themeColor="text1"/>
        </w:rPr>
      </w:pPr>
    </w:p>
    <w:p w:rsidR="00AA4384" w:rsidRPr="00AA4384" w:rsidRDefault="00AA4384" w:rsidP="00AA4384">
      <w:pPr>
        <w:spacing w:line="240" w:lineRule="auto"/>
        <w:jc w:val="both"/>
        <w:rPr>
          <w:b/>
          <w:color w:val="000000" w:themeColor="text1"/>
          <w:u w:val="single"/>
        </w:rPr>
      </w:pPr>
      <w:r>
        <w:rPr>
          <w:color w:val="000000" w:themeColor="text1"/>
        </w:rPr>
        <w:tab/>
      </w:r>
      <w:r w:rsidR="00DD52E7">
        <w:rPr>
          <w:b/>
          <w:color w:val="000000" w:themeColor="text1"/>
          <w:u w:val="single"/>
        </w:rPr>
        <w:t>7</w:t>
      </w:r>
      <w:r w:rsidRPr="00AA4384">
        <w:rPr>
          <w:b/>
          <w:color w:val="000000" w:themeColor="text1"/>
          <w:u w:val="single"/>
        </w:rPr>
        <w:t>. CONC</w:t>
      </w:r>
      <w:r w:rsidR="00C4585E">
        <w:rPr>
          <w:b/>
          <w:color w:val="000000" w:themeColor="text1"/>
          <w:u w:val="single"/>
        </w:rPr>
        <w:t>L</w:t>
      </w:r>
      <w:r w:rsidRPr="00AA4384">
        <w:rPr>
          <w:b/>
          <w:color w:val="000000" w:themeColor="text1"/>
          <w:u w:val="single"/>
        </w:rPr>
        <w:t>USÃO</w:t>
      </w:r>
    </w:p>
    <w:p w:rsidR="00B57080" w:rsidRDefault="00AA4384" w:rsidP="00FA7ACE">
      <w:pPr>
        <w:spacing w:line="240" w:lineRule="auto"/>
        <w:jc w:val="both"/>
        <w:rPr>
          <w:color w:val="000000" w:themeColor="text1"/>
        </w:rPr>
      </w:pPr>
      <w:r>
        <w:rPr>
          <w:color w:val="000000" w:themeColor="text1"/>
        </w:rPr>
        <w:tab/>
      </w:r>
      <w:r w:rsidR="00FA7ACE" w:rsidRPr="00FA7ACE">
        <w:rPr>
          <w:color w:val="000000" w:themeColor="text1"/>
        </w:rPr>
        <w:t xml:space="preserve">Diante do exposto, restam demonstradas a necessidade, a legalidade, a economicidade e a </w:t>
      </w:r>
      <w:proofErr w:type="spellStart"/>
      <w:r w:rsidR="00FA7ACE" w:rsidRPr="00FA7ACE">
        <w:rPr>
          <w:color w:val="000000" w:themeColor="text1"/>
        </w:rPr>
        <w:t>vantajosidade</w:t>
      </w:r>
      <w:proofErr w:type="spellEnd"/>
      <w:r w:rsidR="00FA7ACE" w:rsidRPr="00FA7ACE">
        <w:rPr>
          <w:color w:val="000000" w:themeColor="text1"/>
        </w:rPr>
        <w:t xml:space="preserve"> da contratação de empresa especializada para a execução das oficinas do Programa “São João Mais Saber”, no contraturno escolar, como estratégia de ampliação da jornada dos estudantes da Rede Municipal de Ensino. A medida garante a continuidade de uma política pública essencial, voltada ao desenvolvimento integral dos alunos, especialmente daqueles em situação de vulnerabilidade, ao mesmo tempo em que assegura eficiência na gestão de recursos e no cumprimento das metas educacionais estabelecidas.</w:t>
      </w:r>
    </w:p>
    <w:p w:rsidR="00B57080" w:rsidRDefault="00FA7ACE" w:rsidP="00B57080">
      <w:pPr>
        <w:spacing w:after="0" w:line="240" w:lineRule="auto"/>
        <w:jc w:val="both"/>
        <w:rPr>
          <w:rFonts w:cstheme="minorHAnsi"/>
        </w:rPr>
      </w:pPr>
      <w:r>
        <w:rPr>
          <w:color w:val="000000" w:themeColor="text1"/>
        </w:rPr>
        <w:tab/>
      </w:r>
      <w:r w:rsidRPr="00FA7ACE">
        <w:rPr>
          <w:color w:val="000000" w:themeColor="text1"/>
        </w:rPr>
        <w:t xml:space="preserve">Ressalta-se que o Departamento Municipal de Educação, até o presente momento, vinha realizando estudos técnicos e jurídicos a fim de identificar a forma mais adequada para a realização do novo processo licitatório, diante da proximidade do vencimento da atual parceria — vigente até setembro de 2025 — e da necessidade de adequação ao novo regime legal. Foram consideradas as possibilidades de celebração de contrato de prestação de serviços, chamamento público ou dispensa de licitação, bem como analisadas as fragilidades e irregularidades identificadas no modelo anterior. Com base nessa análise, concluiu-se que a forma mais eficiente e juridicamente segura é a </w:t>
      </w:r>
      <w:r w:rsidR="00B57080" w:rsidRPr="00920DD2">
        <w:rPr>
          <w:rFonts w:cstheme="minorHAnsi"/>
        </w:rPr>
        <w:t>Celebração de Termo de Colaboração visando a parceria com</w:t>
      </w:r>
      <w:r w:rsidR="00B57080">
        <w:rPr>
          <w:rFonts w:cstheme="minorHAnsi"/>
        </w:rPr>
        <w:t xml:space="preserve"> Organização da Sociedade Civil (</w:t>
      </w:r>
      <w:proofErr w:type="spellStart"/>
      <w:r w:rsidR="00B57080">
        <w:rPr>
          <w:rFonts w:cstheme="minorHAnsi"/>
        </w:rPr>
        <w:t>OSCs</w:t>
      </w:r>
      <w:proofErr w:type="spellEnd"/>
      <w:r w:rsidR="00B57080">
        <w:rPr>
          <w:rFonts w:cstheme="minorHAnsi"/>
        </w:rPr>
        <w:t>).</w:t>
      </w:r>
    </w:p>
    <w:p w:rsidR="00B57080" w:rsidRDefault="00B57080" w:rsidP="00B57080">
      <w:pPr>
        <w:spacing w:after="0" w:line="240" w:lineRule="auto"/>
        <w:jc w:val="both"/>
        <w:rPr>
          <w:color w:val="000000" w:themeColor="text1"/>
        </w:rPr>
      </w:pPr>
    </w:p>
    <w:p w:rsidR="0055371B" w:rsidRDefault="00B57080" w:rsidP="00FA7ACE">
      <w:pPr>
        <w:spacing w:line="240" w:lineRule="auto"/>
        <w:jc w:val="both"/>
        <w:rPr>
          <w:color w:val="000000" w:themeColor="text1"/>
        </w:rPr>
      </w:pPr>
      <w:r>
        <w:rPr>
          <w:color w:val="000000" w:themeColor="text1"/>
        </w:rPr>
        <w:lastRenderedPageBreak/>
        <w:tab/>
        <w:t>Informa-se ainda que o</w:t>
      </w:r>
      <w:r w:rsidR="00FA7ACE" w:rsidRPr="00FA7ACE">
        <w:rPr>
          <w:color w:val="000000" w:themeColor="text1"/>
        </w:rPr>
        <w:t>s materiais, serviços de apoio e estrutura física necessários serão disponibilizados diretamente pelo Depa</w:t>
      </w:r>
      <w:r w:rsidR="00FA7ACE">
        <w:rPr>
          <w:color w:val="000000" w:themeColor="text1"/>
        </w:rPr>
        <w:t>rtamento Municipal de Educação.</w:t>
      </w:r>
    </w:p>
    <w:p w:rsidR="00643DE1" w:rsidRDefault="00643DE1" w:rsidP="00FA7ACE">
      <w:pPr>
        <w:spacing w:line="240" w:lineRule="auto"/>
        <w:jc w:val="both"/>
        <w:rPr>
          <w:color w:val="000000" w:themeColor="text1"/>
        </w:rPr>
      </w:pPr>
      <w:r>
        <w:rPr>
          <w:color w:val="000000" w:themeColor="text1"/>
        </w:rPr>
        <w:tab/>
        <w:t>Indica</w:t>
      </w:r>
      <w:r w:rsidR="00DD52E7">
        <w:rPr>
          <w:color w:val="000000" w:themeColor="text1"/>
        </w:rPr>
        <w:t>-se o servidor JOSÉ CARL</w:t>
      </w:r>
      <w:r>
        <w:rPr>
          <w:color w:val="000000" w:themeColor="text1"/>
        </w:rPr>
        <w:t>OS ZAZINI GALLEGO, para atuar como gestor da parceria, considerando que o mesmo está habilitado na PORTARIA Nº 18.528, de 14 de janeiro de 2.025.</w:t>
      </w:r>
    </w:p>
    <w:p w:rsidR="00A91D92" w:rsidRDefault="00A91D92" w:rsidP="00FA7ACE">
      <w:pPr>
        <w:spacing w:line="240" w:lineRule="auto"/>
        <w:jc w:val="both"/>
        <w:rPr>
          <w:color w:val="000000" w:themeColor="text1"/>
        </w:rPr>
      </w:pPr>
      <w:r>
        <w:rPr>
          <w:color w:val="000000" w:themeColor="text1"/>
        </w:rPr>
        <w:tab/>
      </w:r>
      <w:r w:rsidRPr="00A91D92">
        <w:rPr>
          <w:color w:val="000000" w:themeColor="text1"/>
        </w:rPr>
        <w:t>Assim, diante da situação exposta e da urgência envolvida, solic</w:t>
      </w:r>
      <w:r w:rsidR="00B57080">
        <w:rPr>
          <w:color w:val="000000" w:themeColor="text1"/>
        </w:rPr>
        <w:t>ita-se a imediata instauração de formalização de parceria</w:t>
      </w:r>
      <w:r w:rsidRPr="00A91D92">
        <w:rPr>
          <w:color w:val="000000" w:themeColor="text1"/>
        </w:rPr>
        <w:t xml:space="preserve"> </w:t>
      </w:r>
      <w:r w:rsidR="00B57080">
        <w:rPr>
          <w:color w:val="000000" w:themeColor="text1"/>
        </w:rPr>
        <w:t>com Organizações da Sociedade Civil (</w:t>
      </w:r>
      <w:proofErr w:type="spellStart"/>
      <w:r w:rsidR="00B57080">
        <w:rPr>
          <w:color w:val="000000" w:themeColor="text1"/>
        </w:rPr>
        <w:t>OSCs</w:t>
      </w:r>
      <w:proofErr w:type="spellEnd"/>
      <w:r w:rsidR="00B57080">
        <w:rPr>
          <w:color w:val="000000" w:themeColor="text1"/>
        </w:rPr>
        <w:t>)</w:t>
      </w:r>
      <w:r w:rsidRPr="00A91D92">
        <w:rPr>
          <w:color w:val="000000" w:themeColor="text1"/>
        </w:rPr>
        <w:t>,</w:t>
      </w:r>
      <w:r w:rsidR="00B57080">
        <w:rPr>
          <w:color w:val="000000" w:themeColor="text1"/>
        </w:rPr>
        <w:t xml:space="preserve"> para atender esse serviço na rede municipal de educação, conforme as disposições legais regidas pela Lei nº 13.019/2014 e suas alterações.</w:t>
      </w:r>
    </w:p>
    <w:p w:rsidR="00B57080" w:rsidRDefault="00B57080" w:rsidP="00B57080">
      <w:pPr>
        <w:spacing w:before="120" w:after="120" w:line="276" w:lineRule="auto"/>
        <w:ind w:right="-1"/>
        <w:jc w:val="both"/>
        <w:rPr>
          <w:rFonts w:cs="Calibri"/>
        </w:rPr>
      </w:pPr>
      <w:r>
        <w:rPr>
          <w:rFonts w:cs="Calibri"/>
        </w:rPr>
        <w:tab/>
        <w:t>Se tratando de um novo serviço os valores de contrato encontra-se comprovados através das planilhas de custos em anexo ao parecer técnico da vantagem econômica da parceria.</w:t>
      </w:r>
    </w:p>
    <w:p w:rsidR="00B57080" w:rsidRDefault="00DD52E7" w:rsidP="00DD52E7">
      <w:pPr>
        <w:spacing w:before="120" w:after="120" w:line="276" w:lineRule="auto"/>
        <w:ind w:right="-1"/>
        <w:jc w:val="both"/>
        <w:rPr>
          <w:color w:val="000000" w:themeColor="text1"/>
        </w:rPr>
      </w:pPr>
      <w:r>
        <w:rPr>
          <w:rFonts w:cs="Calibri"/>
        </w:rPr>
        <w:tab/>
      </w:r>
      <w:r>
        <w:t>Informa-se, ainda, que, diante da urgência para abertura do processo, a solicitação de compra e reserva será realizada previamente à publicação do edital, com o objetivo de conferir maior celeridade à tramitação.</w:t>
      </w:r>
    </w:p>
    <w:p w:rsidR="00B57080" w:rsidRDefault="00B57080" w:rsidP="00B57080">
      <w:pPr>
        <w:spacing w:before="120" w:after="120" w:line="276" w:lineRule="auto"/>
        <w:jc w:val="both"/>
        <w:rPr>
          <w:rFonts w:cs="Calibri"/>
        </w:rPr>
      </w:pPr>
      <w:r>
        <w:rPr>
          <w:rFonts w:cs="Calibri"/>
          <w:b/>
        </w:rPr>
        <w:t>Anexos:</w:t>
      </w:r>
    </w:p>
    <w:p w:rsidR="00B57080" w:rsidRDefault="00B57080" w:rsidP="00B57080">
      <w:pPr>
        <w:numPr>
          <w:ilvl w:val="0"/>
          <w:numId w:val="2"/>
        </w:numPr>
        <w:suppressAutoHyphens/>
        <w:spacing w:before="120" w:after="120" w:line="276" w:lineRule="auto"/>
        <w:jc w:val="both"/>
        <w:rPr>
          <w:rFonts w:cs="Calibri"/>
        </w:rPr>
      </w:pPr>
      <w:r>
        <w:rPr>
          <w:rFonts w:cs="Calibri"/>
        </w:rPr>
        <w:t>Cópia do Acordão – TC-019155.989.23-9 e TC-017143.989.24-2;</w:t>
      </w:r>
    </w:p>
    <w:p w:rsidR="00B57080" w:rsidRDefault="00B57080" w:rsidP="00B57080">
      <w:pPr>
        <w:numPr>
          <w:ilvl w:val="0"/>
          <w:numId w:val="2"/>
        </w:numPr>
        <w:suppressAutoHyphens/>
        <w:spacing w:before="120" w:after="120" w:line="276" w:lineRule="auto"/>
        <w:jc w:val="both"/>
        <w:rPr>
          <w:rFonts w:cs="Calibri"/>
        </w:rPr>
      </w:pPr>
      <w:r>
        <w:rPr>
          <w:rFonts w:cs="Calibri"/>
        </w:rPr>
        <w:t>Portaria</w:t>
      </w:r>
      <w:r w:rsidR="00643DE1">
        <w:rPr>
          <w:rFonts w:cs="Calibri"/>
        </w:rPr>
        <w:t>s</w:t>
      </w:r>
      <w:r>
        <w:rPr>
          <w:rFonts w:cs="Calibri"/>
        </w:rPr>
        <w:t xml:space="preserve"> </w:t>
      </w:r>
      <w:r w:rsidR="00643DE1">
        <w:rPr>
          <w:rFonts w:cs="Calibri"/>
        </w:rPr>
        <w:t>que nomeiam os membros da</w:t>
      </w:r>
      <w:r>
        <w:rPr>
          <w:rFonts w:cs="Calibri"/>
        </w:rPr>
        <w:t xml:space="preserve"> Comissão de Seleção do </w:t>
      </w:r>
      <w:r w:rsidR="00643DE1">
        <w:rPr>
          <w:rFonts w:cs="Calibri"/>
        </w:rPr>
        <w:t>Departamento Municipal de Educação;</w:t>
      </w:r>
    </w:p>
    <w:p w:rsidR="00C56BC2" w:rsidRDefault="00C56BC2" w:rsidP="00B57080">
      <w:pPr>
        <w:numPr>
          <w:ilvl w:val="0"/>
          <w:numId w:val="2"/>
        </w:numPr>
        <w:suppressAutoHyphens/>
        <w:spacing w:before="120" w:after="120" w:line="276" w:lineRule="auto"/>
        <w:jc w:val="both"/>
        <w:rPr>
          <w:rFonts w:cs="Calibri"/>
        </w:rPr>
      </w:pPr>
      <w:r>
        <w:rPr>
          <w:rFonts w:cs="Calibri"/>
        </w:rPr>
        <w:t>Portarias que nomeiam os membros da Comissão de Monitoramento e Avaliação do Departamento Municipal de Educação;</w:t>
      </w:r>
    </w:p>
    <w:p w:rsidR="00B57080" w:rsidRDefault="00B57080" w:rsidP="00B57080">
      <w:pPr>
        <w:numPr>
          <w:ilvl w:val="0"/>
          <w:numId w:val="2"/>
        </w:numPr>
        <w:suppressAutoHyphens/>
        <w:spacing w:before="120" w:after="120" w:line="276" w:lineRule="auto"/>
        <w:jc w:val="both"/>
        <w:rPr>
          <w:rFonts w:cs="Calibri"/>
        </w:rPr>
      </w:pPr>
      <w:r>
        <w:rPr>
          <w:rFonts w:cs="Calibri"/>
        </w:rPr>
        <w:t>Instrumental de Análise da Comissão de Seleç</w:t>
      </w:r>
      <w:bookmarkStart w:id="0" w:name="_GoBack"/>
      <w:bookmarkEnd w:id="0"/>
      <w:r>
        <w:rPr>
          <w:rFonts w:cs="Calibri"/>
        </w:rPr>
        <w:t>ão;</w:t>
      </w:r>
    </w:p>
    <w:p w:rsidR="00DD52E7" w:rsidRDefault="00DD52E7" w:rsidP="00DD52E7">
      <w:pPr>
        <w:suppressAutoHyphens/>
        <w:spacing w:before="120" w:after="120" w:line="240" w:lineRule="auto"/>
        <w:ind w:left="720"/>
        <w:jc w:val="both"/>
        <w:rPr>
          <w:color w:val="000000" w:themeColor="text1"/>
        </w:rPr>
      </w:pPr>
    </w:p>
    <w:p w:rsidR="00A91D92" w:rsidRPr="00DD52E7" w:rsidRDefault="00A91D92" w:rsidP="00DD52E7">
      <w:pPr>
        <w:suppressAutoHyphens/>
        <w:spacing w:before="120" w:after="120" w:line="240" w:lineRule="auto"/>
        <w:ind w:left="720"/>
        <w:jc w:val="both"/>
        <w:rPr>
          <w:color w:val="000000" w:themeColor="text1"/>
        </w:rPr>
      </w:pPr>
      <w:r w:rsidRPr="00DD52E7">
        <w:rPr>
          <w:color w:val="000000" w:themeColor="text1"/>
        </w:rPr>
        <w:tab/>
        <w:t>Atenciosamente,</w:t>
      </w:r>
    </w:p>
    <w:p w:rsidR="00A91D92" w:rsidRDefault="00A91D92" w:rsidP="00FA7ACE">
      <w:pPr>
        <w:spacing w:line="240" w:lineRule="auto"/>
        <w:jc w:val="both"/>
        <w:rPr>
          <w:color w:val="000000" w:themeColor="text1"/>
        </w:rPr>
      </w:pPr>
    </w:p>
    <w:p w:rsidR="00A91D92" w:rsidRPr="00A91D92" w:rsidRDefault="00A91D92" w:rsidP="00A91D92">
      <w:pPr>
        <w:spacing w:after="0" w:line="240" w:lineRule="auto"/>
        <w:jc w:val="center"/>
        <w:rPr>
          <w:b/>
          <w:color w:val="000000" w:themeColor="text1"/>
        </w:rPr>
      </w:pPr>
      <w:r w:rsidRPr="00A91D92">
        <w:rPr>
          <w:b/>
          <w:color w:val="000000" w:themeColor="text1"/>
        </w:rPr>
        <w:t>MARIA HELENA ANGELINI SANTANA</w:t>
      </w:r>
    </w:p>
    <w:p w:rsidR="00A91D92" w:rsidRPr="00A91D92" w:rsidRDefault="00A91D92" w:rsidP="00A91D92">
      <w:pPr>
        <w:spacing w:after="0" w:line="240" w:lineRule="auto"/>
        <w:jc w:val="center"/>
        <w:rPr>
          <w:b/>
          <w:color w:val="000000" w:themeColor="text1"/>
        </w:rPr>
      </w:pPr>
      <w:r w:rsidRPr="00A91D92">
        <w:rPr>
          <w:b/>
          <w:color w:val="000000" w:themeColor="text1"/>
        </w:rPr>
        <w:t>Diretora do Departamento de Educação</w:t>
      </w:r>
    </w:p>
    <w:p w:rsidR="00FA7ACE" w:rsidRDefault="00FA7ACE" w:rsidP="00FA7ACE">
      <w:pPr>
        <w:spacing w:line="240" w:lineRule="auto"/>
        <w:jc w:val="both"/>
        <w:rPr>
          <w:color w:val="000000" w:themeColor="text1"/>
        </w:rPr>
      </w:pPr>
    </w:p>
    <w:p w:rsidR="00FA7ACE" w:rsidRDefault="00FA7ACE" w:rsidP="00FA7ACE">
      <w:pPr>
        <w:spacing w:line="240" w:lineRule="auto"/>
        <w:jc w:val="both"/>
      </w:pPr>
    </w:p>
    <w:sectPr w:rsidR="00FA7ACE" w:rsidSect="00D7506D">
      <w:headerReference w:type="even" r:id="rId7"/>
      <w:headerReference w:type="default" r:id="rId8"/>
      <w:footerReference w:type="default" r:id="rId9"/>
      <w:headerReference w:type="first" r:id="rId10"/>
      <w:pgSz w:w="11906" w:h="16838"/>
      <w:pgMar w:top="2552" w:right="851" w:bottom="170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1A62" w:rsidRDefault="00EC7307">
      <w:pPr>
        <w:spacing w:after="0" w:line="240" w:lineRule="auto"/>
      </w:pPr>
      <w:r>
        <w:separator/>
      </w:r>
    </w:p>
  </w:endnote>
  <w:endnote w:type="continuationSeparator" w:id="0">
    <w:p w:rsidR="00291A62" w:rsidRDefault="00EC73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5936" w:rsidRDefault="00A91D92">
    <w:pPr>
      <w:pStyle w:val="Rodap"/>
    </w:pPr>
    <w:r>
      <w:t>_____________________________________________________________________________________</w:t>
    </w:r>
  </w:p>
  <w:p w:rsidR="00D65936" w:rsidRDefault="00955652">
    <w:pPr>
      <w:pStyle w:val="Rodap"/>
    </w:pPr>
  </w:p>
  <w:p w:rsidR="00D65936" w:rsidRPr="00D65936" w:rsidRDefault="00A91D92" w:rsidP="00D65936">
    <w:pPr>
      <w:pStyle w:val="Rodap"/>
      <w:jc w:val="center"/>
      <w:rPr>
        <w:sz w:val="20"/>
      </w:rPr>
    </w:pPr>
    <w:r w:rsidRPr="00D65936">
      <w:rPr>
        <w:sz w:val="20"/>
      </w:rPr>
      <w:t>Rua Benjamin Constant, 155 – Centro, São João da Boa Vista – SP, 13870-220</w:t>
    </w:r>
  </w:p>
  <w:p w:rsidR="00D65936" w:rsidRDefault="00A91D92" w:rsidP="00D65936">
    <w:pPr>
      <w:pStyle w:val="Rodap"/>
      <w:jc w:val="center"/>
    </w:pPr>
    <w:r w:rsidRPr="00D65936">
      <w:rPr>
        <w:sz w:val="20"/>
      </w:rPr>
      <w:t xml:space="preserve">Home Page: </w:t>
    </w:r>
    <w:hyperlink r:id="rId1" w:history="1">
      <w:r w:rsidRPr="00D65936">
        <w:rPr>
          <w:rStyle w:val="Hyperlink"/>
          <w:color w:val="000000" w:themeColor="text1"/>
          <w:sz w:val="20"/>
        </w:rPr>
        <w:t>www.saojoao.sp.gov.br</w:t>
      </w:r>
    </w:hyperlink>
    <w:r>
      <w:rPr>
        <w:color w:val="000000" w:themeColor="text1"/>
        <w:sz w:val="20"/>
      </w:rPr>
      <w:t xml:space="preserve">              </w:t>
    </w:r>
    <w:r>
      <w:rPr>
        <w:color w:val="000000" w:themeColor="text1"/>
        <w:sz w:val="20"/>
      </w:rPr>
      <w:tab/>
      <w:t xml:space="preserve">edu-diretoria@saojoao.sp.gov.br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1A62" w:rsidRDefault="00EC7307">
      <w:pPr>
        <w:spacing w:after="0" w:line="240" w:lineRule="auto"/>
      </w:pPr>
      <w:r>
        <w:separator/>
      </w:r>
    </w:p>
  </w:footnote>
  <w:footnote w:type="continuationSeparator" w:id="0">
    <w:p w:rsidR="00291A62" w:rsidRDefault="00EC730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5B57" w:rsidRDefault="00955652">
    <w:pPr>
      <w:pStyle w:val="Cabealho"/>
    </w:pPr>
    <w:r>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6479532" o:spid="_x0000_s1026" type="#_x0000_t75" style="position:absolute;margin-left:0;margin-top:0;width:595.7pt;height:841.9pt;z-index:-251656192;mso-position-horizontal:center;mso-position-horizontal-relative:margin;mso-position-vertical:center;mso-position-vertical-relative:margin" o:allowincell="f">
          <v:imagedata r:id="rId1" o:title="papel timbrado"/>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5936" w:rsidRDefault="00A91D92" w:rsidP="00D65936">
    <w:r>
      <w:rPr>
        <w:noProof/>
        <w:lang w:eastAsia="pt-BR"/>
      </w:rPr>
      <w:drawing>
        <wp:anchor distT="0" distB="0" distL="0" distR="0" simplePos="0" relativeHeight="251661312" behindDoc="0" locked="0" layoutInCell="0" allowOverlap="1" wp14:anchorId="26CA9D03" wp14:editId="45F6369C">
          <wp:simplePos x="0" y="0"/>
          <wp:positionH relativeFrom="page">
            <wp:posOffset>3670935</wp:posOffset>
          </wp:positionH>
          <wp:positionV relativeFrom="page">
            <wp:posOffset>304800</wp:posOffset>
          </wp:positionV>
          <wp:extent cx="698500" cy="752475"/>
          <wp:effectExtent l="0" t="0" r="6350" b="9525"/>
          <wp:wrapSquare wrapText="largest"/>
          <wp:docPr id="138" name="Figu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8500" cy="752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5936" w:rsidRDefault="00955652" w:rsidP="00D65936">
    <w:pPr>
      <w:pStyle w:val="Cabealho"/>
      <w:tabs>
        <w:tab w:val="left" w:pos="1276"/>
        <w:tab w:val="left" w:pos="1418"/>
        <w:tab w:val="right" w:pos="9589"/>
      </w:tabs>
      <w:ind w:right="-185"/>
      <w:jc w:val="center"/>
    </w:pPr>
  </w:p>
  <w:p w:rsidR="00D65936" w:rsidRPr="00D65936" w:rsidRDefault="00955652" w:rsidP="00D65936">
    <w:pPr>
      <w:pStyle w:val="Cabealho"/>
      <w:tabs>
        <w:tab w:val="left" w:pos="1276"/>
        <w:tab w:val="left" w:pos="1418"/>
        <w:tab w:val="right" w:pos="9589"/>
      </w:tabs>
      <w:ind w:right="-185"/>
      <w:jc w:val="center"/>
      <w:rPr>
        <w:rFonts w:ascii="Times New Roman" w:hAnsi="Times New Roman"/>
        <w:b/>
        <w:bCs/>
        <w:color w:val="000000" w:themeColor="text1"/>
        <w:sz w:val="24"/>
        <w:szCs w:val="24"/>
      </w:rPr>
    </w:pPr>
  </w:p>
  <w:p w:rsidR="00D65936" w:rsidRPr="00D65936" w:rsidRDefault="00A91D92" w:rsidP="00D65936">
    <w:pPr>
      <w:pStyle w:val="Cabealho"/>
      <w:tabs>
        <w:tab w:val="left" w:pos="1276"/>
        <w:tab w:val="left" w:pos="1418"/>
        <w:tab w:val="right" w:pos="9589"/>
      </w:tabs>
      <w:ind w:right="-185"/>
      <w:jc w:val="center"/>
      <w:rPr>
        <w:rFonts w:ascii="Times New Roman" w:hAnsi="Times New Roman"/>
        <w:color w:val="000000" w:themeColor="text1"/>
        <w:sz w:val="24"/>
        <w:szCs w:val="24"/>
      </w:rPr>
    </w:pPr>
    <w:r w:rsidRPr="00D65936">
      <w:rPr>
        <w:rFonts w:ascii="Times New Roman" w:hAnsi="Times New Roman"/>
        <w:b/>
        <w:bCs/>
        <w:color w:val="000000" w:themeColor="text1"/>
        <w:sz w:val="24"/>
        <w:szCs w:val="24"/>
      </w:rPr>
      <w:t>Município de São João da Boa Vista</w:t>
    </w:r>
    <w:r w:rsidRPr="00D65936">
      <w:rPr>
        <w:rFonts w:ascii="Times New Roman" w:hAnsi="Times New Roman"/>
        <w:color w:val="000000" w:themeColor="text1"/>
        <w:sz w:val="24"/>
        <w:szCs w:val="24"/>
      </w:rPr>
      <w:br/>
      <w:t>Departamento Municipal de Educação</w:t>
    </w:r>
  </w:p>
  <w:p w:rsidR="00D65936" w:rsidRDefault="00A91D92" w:rsidP="00D65936">
    <w:pPr>
      <w:pStyle w:val="Cabealho"/>
      <w:tabs>
        <w:tab w:val="left" w:pos="1276"/>
        <w:tab w:val="left" w:pos="1418"/>
        <w:tab w:val="right" w:pos="9589"/>
      </w:tabs>
      <w:ind w:right="-185"/>
      <w:jc w:val="center"/>
      <w:rPr>
        <w:rFonts w:ascii="Verdana" w:hAnsi="Verdana"/>
        <w:color w:val="818181"/>
      </w:rPr>
    </w:pPr>
    <w:r>
      <w:rPr>
        <w:rFonts w:ascii="Verdana" w:hAnsi="Verdana"/>
        <w:color w:val="818181"/>
      </w:rPr>
      <w:t>__________________________________________________________________</w:t>
    </w:r>
  </w:p>
  <w:p w:rsidR="00C35B57" w:rsidRDefault="00955652">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35B57" w:rsidRDefault="00955652">
    <w:pPr>
      <w:pStyle w:val="Cabealho"/>
    </w:pPr>
    <w:r>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6479531" o:spid="_x0000_s1025" type="#_x0000_t75" style="position:absolute;margin-left:0;margin-top:0;width:595.7pt;height:841.9pt;z-index:-251657216;mso-position-horizontal:center;mso-position-horizontal-relative:margin;mso-position-vertical:center;mso-position-vertical-relative:margin" o:allowincell="f">
          <v:imagedata r:id="rId1" o:title="papel timbrad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15:restartNumberingAfterBreak="0">
    <w:nsid w:val="37806C23"/>
    <w:multiLevelType w:val="hybridMultilevel"/>
    <w:tmpl w:val="077A30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547"/>
    <w:rsid w:val="0003690A"/>
    <w:rsid w:val="00210495"/>
    <w:rsid w:val="00291A62"/>
    <w:rsid w:val="002C6B6B"/>
    <w:rsid w:val="0033139D"/>
    <w:rsid w:val="003866A2"/>
    <w:rsid w:val="0042717C"/>
    <w:rsid w:val="004B0062"/>
    <w:rsid w:val="0055371B"/>
    <w:rsid w:val="00565FDB"/>
    <w:rsid w:val="00643DE1"/>
    <w:rsid w:val="007604ED"/>
    <w:rsid w:val="00784014"/>
    <w:rsid w:val="008E0191"/>
    <w:rsid w:val="00955652"/>
    <w:rsid w:val="00995547"/>
    <w:rsid w:val="009F0676"/>
    <w:rsid w:val="00A1256D"/>
    <w:rsid w:val="00A91D92"/>
    <w:rsid w:val="00AA4384"/>
    <w:rsid w:val="00AA7507"/>
    <w:rsid w:val="00B57080"/>
    <w:rsid w:val="00C4585E"/>
    <w:rsid w:val="00C56BC2"/>
    <w:rsid w:val="00DD52E7"/>
    <w:rsid w:val="00E25584"/>
    <w:rsid w:val="00EC6B8A"/>
    <w:rsid w:val="00EC7307"/>
    <w:rsid w:val="00F23BC1"/>
    <w:rsid w:val="00FA7AC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chartTrackingRefBased/>
  <w15:docId w15:val="{517D5E33-CA18-4BBA-920D-B4554521A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5547"/>
    <w:rPr>
      <w:rFonts w:ascii="Calibri" w:eastAsia="Calibri" w:hAnsi="Calibri" w:cs="Times New Roman"/>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995547"/>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995547"/>
    <w:rPr>
      <w:rFonts w:ascii="Calibri" w:eastAsia="Calibri" w:hAnsi="Calibri" w:cs="Times New Roman"/>
    </w:rPr>
  </w:style>
  <w:style w:type="paragraph" w:styleId="Rodap">
    <w:name w:val="footer"/>
    <w:basedOn w:val="Normal"/>
    <w:link w:val="RodapChar"/>
    <w:uiPriority w:val="99"/>
    <w:unhideWhenUsed/>
    <w:rsid w:val="00995547"/>
    <w:pPr>
      <w:tabs>
        <w:tab w:val="center" w:pos="4252"/>
        <w:tab w:val="right" w:pos="8504"/>
      </w:tabs>
      <w:spacing w:after="0" w:line="240" w:lineRule="auto"/>
    </w:pPr>
  </w:style>
  <w:style w:type="character" w:customStyle="1" w:styleId="RodapChar">
    <w:name w:val="Rodapé Char"/>
    <w:basedOn w:val="Fontepargpadro"/>
    <w:link w:val="Rodap"/>
    <w:uiPriority w:val="99"/>
    <w:rsid w:val="00995547"/>
    <w:rPr>
      <w:rFonts w:ascii="Calibri" w:eastAsia="Calibri" w:hAnsi="Calibri" w:cs="Times New Roman"/>
    </w:rPr>
  </w:style>
  <w:style w:type="character" w:styleId="Hyperlink">
    <w:name w:val="Hyperlink"/>
    <w:basedOn w:val="Fontepargpadro"/>
    <w:uiPriority w:val="99"/>
    <w:unhideWhenUsed/>
    <w:rsid w:val="00995547"/>
    <w:rPr>
      <w:color w:val="0563C1" w:themeColor="hyperlink"/>
      <w:u w:val="single"/>
    </w:rPr>
  </w:style>
  <w:style w:type="table" w:styleId="Tabelacomgrade">
    <w:name w:val="Table Grid"/>
    <w:basedOn w:val="Tabelanormal"/>
    <w:uiPriority w:val="39"/>
    <w:rsid w:val="009955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2C6B6B"/>
    <w:pPr>
      <w:ind w:left="720"/>
      <w:contextualSpacing/>
    </w:pPr>
  </w:style>
  <w:style w:type="character" w:styleId="Forte">
    <w:name w:val="Strong"/>
    <w:basedOn w:val="Fontepargpadro"/>
    <w:uiPriority w:val="22"/>
    <w:qFormat/>
    <w:rsid w:val="003866A2"/>
    <w:rPr>
      <w:b/>
      <w:bCs/>
    </w:rPr>
  </w:style>
  <w:style w:type="paragraph" w:styleId="Textodebalo">
    <w:name w:val="Balloon Text"/>
    <w:basedOn w:val="Normal"/>
    <w:link w:val="TextodebaloChar"/>
    <w:uiPriority w:val="99"/>
    <w:semiHidden/>
    <w:unhideWhenUsed/>
    <w:rsid w:val="00955652"/>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955652"/>
    <w:rPr>
      <w:rFonts w:ascii="Segoe UI" w:eastAsia="Calibr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23084151">
      <w:bodyDiv w:val="1"/>
      <w:marLeft w:val="0"/>
      <w:marRight w:val="0"/>
      <w:marTop w:val="0"/>
      <w:marBottom w:val="0"/>
      <w:divBdr>
        <w:top w:val="none" w:sz="0" w:space="0" w:color="auto"/>
        <w:left w:val="none" w:sz="0" w:space="0" w:color="auto"/>
        <w:bottom w:val="none" w:sz="0" w:space="0" w:color="auto"/>
        <w:right w:val="none" w:sz="0" w:space="0" w:color="auto"/>
      </w:divBdr>
    </w:div>
    <w:div w:id="914240032">
      <w:bodyDiv w:val="1"/>
      <w:marLeft w:val="0"/>
      <w:marRight w:val="0"/>
      <w:marTop w:val="0"/>
      <w:marBottom w:val="0"/>
      <w:divBdr>
        <w:top w:val="none" w:sz="0" w:space="0" w:color="auto"/>
        <w:left w:val="none" w:sz="0" w:space="0" w:color="auto"/>
        <w:bottom w:val="none" w:sz="0" w:space="0" w:color="auto"/>
        <w:right w:val="none" w:sz="0" w:space="0" w:color="auto"/>
      </w:divBdr>
    </w:div>
    <w:div w:id="934049491">
      <w:bodyDiv w:val="1"/>
      <w:marLeft w:val="0"/>
      <w:marRight w:val="0"/>
      <w:marTop w:val="0"/>
      <w:marBottom w:val="0"/>
      <w:divBdr>
        <w:top w:val="none" w:sz="0" w:space="0" w:color="auto"/>
        <w:left w:val="none" w:sz="0" w:space="0" w:color="auto"/>
        <w:bottom w:val="none" w:sz="0" w:space="0" w:color="auto"/>
        <w:right w:val="none" w:sz="0" w:space="0" w:color="auto"/>
      </w:divBdr>
    </w:div>
    <w:div w:id="1015152899">
      <w:bodyDiv w:val="1"/>
      <w:marLeft w:val="0"/>
      <w:marRight w:val="0"/>
      <w:marTop w:val="0"/>
      <w:marBottom w:val="0"/>
      <w:divBdr>
        <w:top w:val="none" w:sz="0" w:space="0" w:color="auto"/>
        <w:left w:val="none" w:sz="0" w:space="0" w:color="auto"/>
        <w:bottom w:val="none" w:sz="0" w:space="0" w:color="auto"/>
        <w:right w:val="none" w:sz="0" w:space="0" w:color="auto"/>
      </w:divBdr>
    </w:div>
    <w:div w:id="1223561177">
      <w:bodyDiv w:val="1"/>
      <w:marLeft w:val="0"/>
      <w:marRight w:val="0"/>
      <w:marTop w:val="0"/>
      <w:marBottom w:val="0"/>
      <w:divBdr>
        <w:top w:val="none" w:sz="0" w:space="0" w:color="auto"/>
        <w:left w:val="none" w:sz="0" w:space="0" w:color="auto"/>
        <w:bottom w:val="none" w:sz="0" w:space="0" w:color="auto"/>
        <w:right w:val="none" w:sz="0" w:space="0" w:color="auto"/>
      </w:divBdr>
    </w:div>
    <w:div w:id="1250431652">
      <w:bodyDiv w:val="1"/>
      <w:marLeft w:val="0"/>
      <w:marRight w:val="0"/>
      <w:marTop w:val="0"/>
      <w:marBottom w:val="0"/>
      <w:divBdr>
        <w:top w:val="none" w:sz="0" w:space="0" w:color="auto"/>
        <w:left w:val="none" w:sz="0" w:space="0" w:color="auto"/>
        <w:bottom w:val="none" w:sz="0" w:space="0" w:color="auto"/>
        <w:right w:val="none" w:sz="0" w:space="0" w:color="auto"/>
      </w:divBdr>
    </w:div>
    <w:div w:id="1331719417">
      <w:bodyDiv w:val="1"/>
      <w:marLeft w:val="0"/>
      <w:marRight w:val="0"/>
      <w:marTop w:val="0"/>
      <w:marBottom w:val="0"/>
      <w:divBdr>
        <w:top w:val="none" w:sz="0" w:space="0" w:color="auto"/>
        <w:left w:val="none" w:sz="0" w:space="0" w:color="auto"/>
        <w:bottom w:val="none" w:sz="0" w:space="0" w:color="auto"/>
        <w:right w:val="none" w:sz="0" w:space="0" w:color="auto"/>
      </w:divBdr>
    </w:div>
    <w:div w:id="1784692799">
      <w:bodyDiv w:val="1"/>
      <w:marLeft w:val="0"/>
      <w:marRight w:val="0"/>
      <w:marTop w:val="0"/>
      <w:marBottom w:val="0"/>
      <w:divBdr>
        <w:top w:val="none" w:sz="0" w:space="0" w:color="auto"/>
        <w:left w:val="none" w:sz="0" w:space="0" w:color="auto"/>
        <w:bottom w:val="none" w:sz="0" w:space="0" w:color="auto"/>
        <w:right w:val="none" w:sz="0" w:space="0" w:color="auto"/>
      </w:divBdr>
    </w:div>
    <w:div w:id="2108424386">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www.saojoao.sp.gov.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705</TotalTime>
  <Pages>8</Pages>
  <Words>3224</Words>
  <Characters>17413</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20596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Isaías Guilherme Pinto Cardoso</dc:creator>
  <cp:keywords/>
  <dc:description/>
  <cp:lastModifiedBy>Isaías Guilherme Pinto Cardoso</cp:lastModifiedBy>
  <cp:revision>11</cp:revision>
  <cp:lastPrinted>2025-07-07T19:47:00Z</cp:lastPrinted>
  <dcterms:created xsi:type="dcterms:W3CDTF">2025-06-05T12:36:00Z</dcterms:created>
  <dcterms:modified xsi:type="dcterms:W3CDTF">2025-07-07T20:05:00Z</dcterms:modified>
</cp:coreProperties>
</file>